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00" w:beforeAutospacing="0" w:after="0" w:afterAutospacing="0"/>
        <w:jc w:val="center"/>
        <w:textAlignment w:val="baseline"/>
      </w:pPr>
      <w:r>
        <w:rPr>
          <w:rStyle w:val="45"/>
          <w:b/>
          <w:bCs/>
          <w:color w:val="000000"/>
          <w:sz w:val="28"/>
          <w:szCs w:val="28"/>
          <w:u w:val="single"/>
          <w:shd w:val="clear" w:fill="auto"/>
        </w:rPr>
        <w:t>MINUTA DE EDITAL DO PREGÃO Nº 002 de 2024</w:t>
      </w:r>
    </w:p>
    <w:p>
      <w:pPr>
        <w:pStyle w:val="3"/>
        <w:spacing w:before="0" w:beforeAutospacing="0" w:after="600" w:afterAutospacing="0"/>
        <w:jc w:val="center"/>
        <w:textAlignment w:val="baseline"/>
      </w:pPr>
      <w:r>
        <w:rPr>
          <w:rStyle w:val="45"/>
          <w:b/>
          <w:bCs/>
          <w:color w:val="000000"/>
          <w:sz w:val="28"/>
          <w:szCs w:val="28"/>
          <w:shd w:val="clear" w:fill="auto"/>
        </w:rPr>
        <w:t>(PROCESSO ADMINISTRATIVO: 009-2024)</w:t>
      </w:r>
    </w:p>
    <w:tbl>
      <w:tblPr>
        <w:tblStyle w:val="173"/>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2743"/>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5"/>
          </w:tcPr>
          <w:p>
            <w:pPr>
              <w:pStyle w:val="3"/>
              <w:widowControl/>
              <w:suppressAutoHyphens/>
              <w:spacing w:before="120" w:beforeAutospacing="0" w:after="120" w:afterAutospacing="0"/>
              <w:jc w:val="center"/>
              <w:textAlignment w:val="baseline"/>
              <w:rPr>
                <w:b/>
                <w:bCs/>
                <w:kern w:val="0"/>
                <w:lang w:val="pt-BR" w:bidi="ar-SA"/>
              </w:rPr>
            </w:pPr>
            <w:r>
              <w:rPr>
                <w:rStyle w:val="45"/>
                <w:b/>
                <w:bCs/>
                <w:color w:val="000000"/>
                <w:kern w:val="0"/>
                <w:sz w:val="28"/>
                <w:szCs w:val="28"/>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Calibri" w:hAnsi="Calibri"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4"/>
            <w:shd w:val="clear" w:color="auto" w:fill="DDDDDD"/>
          </w:tcPr>
          <w:p>
            <w:pPr>
              <w:pStyle w:val="3"/>
              <w:widowControl/>
              <w:suppressAutoHyphens/>
              <w:spacing w:before="0" w:beforeAutospacing="0" w:after="0" w:afterAutospacing="0"/>
              <w:jc w:val="both"/>
              <w:textAlignment w:val="baseline"/>
              <w:rPr>
                <w:b/>
                <w:bCs/>
                <w:kern w:val="0"/>
                <w:lang w:val="pt-BR" w:bidi="ar-SA"/>
              </w:rPr>
            </w:pPr>
            <w:r>
              <w:rPr>
                <w:rStyle w:val="45"/>
                <w:b w:val="0"/>
                <w:bCs w:val="0"/>
                <w:color w:val="000000"/>
                <w:kern w:val="0"/>
                <w:sz w:val="22"/>
                <w:szCs w:val="22"/>
                <w:lang w:val="pt-BR" w:bidi="ar-SA"/>
              </w:rPr>
              <w:t>Órgão Gerenciador:</w:t>
            </w:r>
          </w:p>
          <w:p>
            <w:pPr>
              <w:pStyle w:val="3"/>
              <w:widowControl/>
              <w:suppressAutoHyphens/>
              <w:spacing w:before="0" w:beforeAutospacing="0" w:after="0" w:afterAutospacing="0"/>
              <w:ind w:left="317"/>
              <w:jc w:val="both"/>
              <w:textAlignment w:val="baseline"/>
              <w:rPr>
                <w:b/>
                <w:bCs/>
                <w:kern w:val="0"/>
                <w:lang w:val="pt-BR" w:bidi="ar-SA"/>
              </w:rPr>
            </w:pPr>
            <w:r>
              <w:rPr>
                <w:rStyle w:val="45"/>
                <w:b/>
                <w:bCs/>
                <w:kern w:val="0"/>
                <w:sz w:val="22"/>
                <w:szCs w:val="22"/>
                <w:lang w:val="pt-BR" w:bidi="ar-SA"/>
              </w:rPr>
              <w:t>Câmara Municipal de Primavera do Leste - MT</w:t>
            </w:r>
          </w:p>
        </w:tc>
        <w:tc>
          <w:tcPr>
            <w:tcW w:w="2347" w:type="dxa"/>
            <w:gridSpan w:val="2"/>
            <w:shd w:val="clear" w:color="auto" w:fill="DDDDDD"/>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CNPJ:</w:t>
            </w:r>
          </w:p>
          <w:p>
            <w:pPr>
              <w:pStyle w:val="3"/>
              <w:widowControl/>
              <w:suppressAutoHyphens/>
              <w:spacing w:before="0" w:beforeAutospacing="0" w:after="0" w:afterAutospacing="0"/>
              <w:jc w:val="center"/>
              <w:textAlignment w:val="baseline"/>
              <w:rPr>
                <w:kern w:val="0"/>
                <w:lang w:val="pt-BR" w:bidi="ar-SA"/>
              </w:rPr>
            </w:pPr>
            <w:r>
              <w:rPr>
                <w:rStyle w:val="45"/>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3"/>
              <w:widowControl/>
              <w:suppressAutoHyphens/>
              <w:spacing w:before="0" w:beforeAutospacing="0" w:after="0" w:afterAutospacing="0"/>
              <w:jc w:val="both"/>
              <w:textAlignment w:val="baseline"/>
              <w:rPr>
                <w:b/>
                <w:bCs/>
                <w:kern w:val="0"/>
                <w:lang w:val="pt-BR" w:bidi="ar-SA"/>
              </w:rPr>
            </w:pPr>
            <w:r>
              <w:rPr>
                <w:rStyle w:val="45"/>
                <w:b w:val="0"/>
                <w:bCs w:val="0"/>
                <w:color w:val="000000"/>
                <w:kern w:val="0"/>
                <w:sz w:val="22"/>
                <w:szCs w:val="22"/>
                <w:lang w:val="pt-BR" w:bidi="ar-SA"/>
              </w:rPr>
              <w:t>Modalidade:</w:t>
            </w:r>
          </w:p>
          <w:p>
            <w:pPr>
              <w:pStyle w:val="3"/>
              <w:widowControl/>
              <w:suppressAutoHyphens/>
              <w:spacing w:before="0" w:beforeAutospacing="0" w:after="0" w:afterAutospacing="0"/>
              <w:jc w:val="center"/>
              <w:textAlignment w:val="baseline"/>
              <w:rPr>
                <w:b/>
                <w:bCs/>
                <w:kern w:val="0"/>
                <w:lang w:val="pt-BR" w:bidi="ar-SA"/>
              </w:rPr>
            </w:pPr>
            <w:r>
              <w:rPr>
                <w:rStyle w:val="45"/>
                <w:b/>
                <w:bCs/>
                <w:color w:val="000000"/>
                <w:kern w:val="0"/>
                <w:sz w:val="22"/>
                <w:szCs w:val="22"/>
                <w:lang w:val="pt-BR" w:bidi="ar-SA"/>
              </w:rPr>
              <w:t>Pregão</w:t>
            </w:r>
          </w:p>
        </w:tc>
        <w:tc>
          <w:tcPr>
            <w:tcW w:w="1703" w:type="dxa"/>
          </w:tcPr>
          <w:p>
            <w:pPr>
              <w:pStyle w:val="3"/>
              <w:widowControl/>
              <w:suppressAutoHyphens/>
              <w:spacing w:before="0" w:beforeAutospacing="0" w:after="0" w:afterAutospacing="0"/>
              <w:jc w:val="both"/>
              <w:textAlignment w:val="baseline"/>
              <w:rPr>
                <w:kern w:val="0"/>
                <w:lang w:val="pt-BR" w:bidi="ar-SA"/>
              </w:rPr>
            </w:pPr>
            <w:r>
              <w:rPr>
                <w:rStyle w:val="45"/>
                <w:color w:val="000000"/>
                <w:kern w:val="0"/>
                <w:sz w:val="22"/>
                <w:szCs w:val="22"/>
                <w:lang w:val="pt-BR" w:bidi="ar-SA"/>
              </w:rPr>
              <w:t>Forma:</w:t>
            </w:r>
          </w:p>
          <w:p>
            <w:pPr>
              <w:pStyle w:val="3"/>
              <w:widowControl/>
              <w:suppressAutoHyphens/>
              <w:spacing w:before="0" w:beforeAutospacing="0" w:after="0" w:afterAutospacing="0"/>
              <w:jc w:val="center"/>
              <w:textAlignment w:val="baseline"/>
              <w:rPr>
                <w:kern w:val="0"/>
                <w:lang w:val="pt-BR" w:bidi="ar-SA"/>
              </w:rPr>
            </w:pPr>
            <w:r>
              <w:rPr>
                <w:rStyle w:val="45"/>
                <w:b/>
                <w:bCs/>
                <w:color w:val="000000"/>
                <w:kern w:val="0"/>
                <w:sz w:val="22"/>
                <w:szCs w:val="22"/>
                <w:lang w:val="pt-BR" w:bidi="ar-SA"/>
              </w:rPr>
              <w:t>Eletrônica</w:t>
            </w:r>
          </w:p>
        </w:tc>
        <w:tc>
          <w:tcPr>
            <w:tcW w:w="2743" w:type="dxa"/>
          </w:tcPr>
          <w:p>
            <w:pPr>
              <w:pStyle w:val="3"/>
              <w:widowControl/>
              <w:suppressAutoHyphens/>
              <w:spacing w:before="0" w:beforeAutospacing="0" w:after="0" w:afterAutospacing="0"/>
              <w:jc w:val="both"/>
              <w:textAlignment w:val="baseline"/>
              <w:rPr>
                <w:kern w:val="0"/>
                <w:lang w:val="pt-BR" w:bidi="ar-SA"/>
              </w:rPr>
            </w:pPr>
            <w:r>
              <w:rPr>
                <w:rStyle w:val="47"/>
                <w:color w:val="000000"/>
                <w:kern w:val="0"/>
                <w:sz w:val="22"/>
                <w:szCs w:val="22"/>
                <w:lang w:val="pt-BR" w:bidi="ar-SA"/>
              </w:rPr>
              <w:t>Modo de Disputa:</w:t>
            </w:r>
          </w:p>
          <w:p>
            <w:pPr>
              <w:pStyle w:val="3"/>
              <w:widowControl/>
              <w:suppressAutoHyphens/>
              <w:spacing w:before="0" w:beforeAutospacing="0" w:after="0" w:afterAutospacing="0"/>
              <w:jc w:val="center"/>
              <w:textAlignment w:val="baseline"/>
            </w:pPr>
            <w:r>
              <w:rPr>
                <w:rStyle w:val="47"/>
                <w:b/>
                <w:bCs/>
                <w:color w:val="000000"/>
                <w:kern w:val="0"/>
                <w:sz w:val="22"/>
                <w:szCs w:val="22"/>
                <w:shd w:val="clear" w:fill="auto"/>
                <w:lang w:val="pt-BR" w:bidi="ar-SA"/>
              </w:rPr>
              <w:t>Aberto</w:t>
            </w:r>
          </w:p>
        </w:tc>
        <w:tc>
          <w:tcPr>
            <w:tcW w:w="2367" w:type="dxa"/>
            <w:gridSpan w:val="2"/>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Critério de Julgamento:</w:t>
            </w:r>
          </w:p>
          <w:p>
            <w:pPr>
              <w:pStyle w:val="3"/>
              <w:widowControl/>
              <w:suppressAutoHyphens/>
              <w:spacing w:before="0" w:beforeAutospacing="0" w:after="0" w:afterAutospacing="0"/>
              <w:jc w:val="center"/>
              <w:textAlignment w:val="baseline"/>
              <w:rPr>
                <w:rFonts w:hint="default"/>
                <w:kern w:val="0"/>
                <w:lang w:val="pt-BR" w:bidi="ar-SA"/>
              </w:rPr>
            </w:pPr>
            <w:r>
              <w:rPr>
                <w:rStyle w:val="45"/>
                <w:rFonts w:hint="default"/>
                <w:b/>
                <w:bCs/>
                <w:color w:val="000000" w:themeColor="text1"/>
                <w:kern w:val="0"/>
                <w:sz w:val="22"/>
                <w:szCs w:val="22"/>
                <w:lang w:val="pt-BR" w:bidi="ar-SA"/>
              </w:rPr>
              <w:t>Menor Taxa</w:t>
            </w:r>
          </w:p>
        </w:tc>
        <w:tc>
          <w:tcPr>
            <w:tcW w:w="53" w:type="dxa"/>
            <w:tcBorders>
              <w:top w:val="nil"/>
              <w:bottom w:val="nil"/>
            </w:tcBorders>
          </w:tcPr>
          <w:p>
            <w:pPr>
              <w:widowControl/>
              <w:suppressAutoHyphens/>
              <w:spacing w:before="0" w:after="0" w:line="240" w:lineRule="auto"/>
              <w:jc w:val="left"/>
              <w:rPr>
                <w:rFonts w:ascii="Calibri" w:hAnsi="Calibri"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3"/>
              <w:widowControl/>
              <w:suppressAutoHyphens/>
              <w:spacing w:before="0" w:beforeAutospacing="0" w:after="0" w:afterAutospacing="0"/>
              <w:jc w:val="both"/>
              <w:textAlignment w:val="baseline"/>
              <w:rPr>
                <w:b/>
                <w:bCs/>
              </w:rPr>
            </w:pPr>
            <w:r>
              <w:rPr>
                <w:rStyle w:val="45"/>
                <w:b w:val="0"/>
                <w:bCs w:val="0"/>
                <w:color w:val="000000" w:themeColor="text1"/>
                <w:kern w:val="0"/>
                <w:sz w:val="22"/>
                <w:szCs w:val="22"/>
                <w:shd w:val="clear" w:fill="auto"/>
                <w:lang w:val="pt-BR" w:bidi="ar-SA"/>
              </w:rPr>
              <w:t>Data:</w:t>
            </w:r>
          </w:p>
          <w:p>
            <w:pPr>
              <w:pStyle w:val="3"/>
              <w:widowControl/>
              <w:suppressAutoHyphens/>
              <w:spacing w:before="0" w:beforeAutospacing="0" w:after="0" w:afterAutospacing="0"/>
              <w:jc w:val="center"/>
              <w:textAlignment w:val="baseline"/>
              <w:rPr>
                <w:b/>
                <w:bCs/>
              </w:rPr>
            </w:pPr>
            <w:r>
              <w:rPr>
                <w:rStyle w:val="45"/>
                <w:rFonts w:hint="default"/>
                <w:b/>
                <w:bCs/>
                <w:color w:val="000000" w:themeColor="text1"/>
                <w:kern w:val="0"/>
                <w:sz w:val="22"/>
                <w:szCs w:val="22"/>
                <w:shd w:val="clear" w:fill="auto"/>
                <w:lang w:val="pt-BR" w:bidi="ar-SA"/>
              </w:rPr>
              <w:t>20</w:t>
            </w:r>
            <w:r>
              <w:rPr>
                <w:rStyle w:val="45"/>
                <w:b/>
                <w:bCs/>
                <w:color w:val="000000" w:themeColor="text1"/>
                <w:kern w:val="0"/>
                <w:sz w:val="22"/>
                <w:szCs w:val="22"/>
                <w:shd w:val="clear" w:fill="auto"/>
                <w:lang w:val="pt-BR" w:bidi="ar-SA"/>
              </w:rPr>
              <w:t>/03/2024</w:t>
            </w:r>
          </w:p>
        </w:tc>
        <w:tc>
          <w:tcPr>
            <w:tcW w:w="1703" w:type="dxa"/>
            <w:shd w:val="clear" w:color="auto" w:fill="DDDDDD"/>
          </w:tcPr>
          <w:p>
            <w:pPr>
              <w:pStyle w:val="3"/>
              <w:widowControl/>
              <w:suppressAutoHyphens/>
              <w:spacing w:before="0" w:beforeAutospacing="0" w:after="0" w:afterAutospacing="0"/>
              <w:jc w:val="both"/>
              <w:textAlignment w:val="baseline"/>
            </w:pPr>
            <w:r>
              <w:rPr>
                <w:rStyle w:val="45"/>
                <w:color w:val="000000" w:themeColor="text1"/>
                <w:kern w:val="0"/>
                <w:sz w:val="22"/>
                <w:szCs w:val="22"/>
                <w:shd w:val="clear" w:fill="auto"/>
                <w:lang w:val="pt-BR" w:bidi="ar-SA"/>
              </w:rPr>
              <w:t>Horário:</w:t>
            </w:r>
          </w:p>
          <w:p>
            <w:pPr>
              <w:pStyle w:val="3"/>
              <w:widowControl/>
              <w:suppressAutoHyphens/>
              <w:spacing w:before="0" w:beforeAutospacing="0" w:after="0" w:afterAutospacing="0"/>
              <w:jc w:val="center"/>
              <w:textAlignment w:val="baseline"/>
            </w:pPr>
            <w:r>
              <w:rPr>
                <w:rStyle w:val="45"/>
                <w:b/>
                <w:bCs/>
                <w:color w:val="000000" w:themeColor="text1"/>
                <w:kern w:val="0"/>
                <w:sz w:val="22"/>
                <w:szCs w:val="22"/>
                <w:shd w:val="clear" w:fill="auto"/>
                <w:lang w:val="pt-BR" w:bidi="ar-SA"/>
              </w:rPr>
              <w:t>09h00 min</w:t>
            </w:r>
          </w:p>
          <w:p>
            <w:pPr>
              <w:pStyle w:val="3"/>
              <w:widowControl/>
              <w:suppressAutoHyphens/>
              <w:spacing w:before="0" w:beforeAutospacing="0" w:after="0" w:afterAutospacing="0"/>
              <w:jc w:val="center"/>
              <w:textAlignment w:val="baseline"/>
            </w:pPr>
            <w:r>
              <w:rPr>
                <w:rStyle w:val="45"/>
                <w:b/>
                <w:bCs/>
                <w:color w:val="000000" w:themeColor="text1"/>
                <w:kern w:val="0"/>
                <w:sz w:val="22"/>
                <w:szCs w:val="22"/>
                <w:shd w:val="clear" w:fill="auto"/>
                <w:lang w:val="pt-BR" w:bidi="ar-SA"/>
              </w:rPr>
              <w:t>(horário oficial de Brasília/DF)</w:t>
            </w:r>
          </w:p>
        </w:tc>
        <w:tc>
          <w:tcPr>
            <w:tcW w:w="5163" w:type="dxa"/>
            <w:gridSpan w:val="4"/>
            <w:shd w:val="clear" w:color="auto" w:fill="DDDDDD"/>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Plataforma:</w:t>
            </w:r>
          </w:p>
          <w:p>
            <w:pPr>
              <w:pStyle w:val="3"/>
              <w:widowControl/>
              <w:suppressAutoHyphens/>
              <w:spacing w:before="0" w:beforeAutospacing="0" w:after="0" w:afterAutospacing="0"/>
              <w:jc w:val="center"/>
              <w:textAlignment w:val="baseline"/>
              <w:rPr>
                <w:kern w:val="0"/>
                <w:lang w:val="pt-BR" w:bidi="ar-SA"/>
              </w:rPr>
            </w:pPr>
            <w:r>
              <w:rPr>
                <w:b/>
                <w:bCs/>
                <w:color w:val="auto"/>
                <w:kern w:val="0"/>
                <w:sz w:val="22"/>
                <w:szCs w:val="22"/>
                <w:u w:val="none"/>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3"/>
              <w:widowControl/>
              <w:suppressAutoHyphens/>
              <w:spacing w:before="0" w:beforeAutospacing="0" w:after="0" w:afterAutospacing="0"/>
              <w:jc w:val="both"/>
              <w:textAlignment w:val="baseline"/>
              <w:rPr>
                <w:b/>
                <w:bCs/>
                <w:kern w:val="0"/>
                <w:lang w:val="pt-BR" w:bidi="ar-SA"/>
              </w:rPr>
            </w:pPr>
            <w:r>
              <w:rPr>
                <w:rStyle w:val="45"/>
                <w:b w:val="0"/>
                <w:bCs w:val="0"/>
                <w:color w:val="000000" w:themeColor="text1"/>
                <w:kern w:val="0"/>
                <w:sz w:val="22"/>
                <w:szCs w:val="22"/>
                <w:lang w:val="pt-BR" w:bidi="ar-SA"/>
              </w:rPr>
              <w:t>Exige Amostra?</w:t>
            </w:r>
          </w:p>
          <w:p>
            <w:pPr>
              <w:pStyle w:val="3"/>
              <w:widowControl/>
              <w:suppressAutoHyphens/>
              <w:spacing w:before="0" w:beforeAutospacing="0" w:after="0" w:afterAutospacing="0"/>
              <w:jc w:val="center"/>
              <w:textAlignment w:val="baseline"/>
              <w:rPr>
                <w:b/>
                <w:bCs/>
                <w:kern w:val="0"/>
                <w:lang w:val="pt-BR" w:bidi="ar-SA"/>
              </w:rPr>
            </w:pPr>
            <w:r>
              <w:rPr>
                <w:rStyle w:val="45"/>
                <w:b/>
                <w:bCs/>
                <w:color w:val="000000" w:themeColor="text1"/>
                <w:kern w:val="0"/>
                <w:sz w:val="22"/>
                <w:szCs w:val="22"/>
                <w:lang w:val="pt-BR" w:bidi="ar-SA"/>
              </w:rPr>
              <w:t>Não</w:t>
            </w:r>
          </w:p>
        </w:tc>
        <w:tc>
          <w:tcPr>
            <w:tcW w:w="1703" w:type="dxa"/>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Participação:</w:t>
            </w:r>
          </w:p>
          <w:p>
            <w:pPr>
              <w:pStyle w:val="3"/>
              <w:widowControl/>
              <w:suppressAutoHyphens/>
              <w:spacing w:before="0" w:beforeAutospacing="0" w:after="0" w:afterAutospacing="0"/>
              <w:jc w:val="center"/>
              <w:textAlignment w:val="baseline"/>
              <w:rPr>
                <w:kern w:val="0"/>
                <w:lang w:val="pt-BR" w:bidi="ar-SA"/>
              </w:rPr>
            </w:pPr>
            <w:r>
              <w:rPr>
                <w:rStyle w:val="47"/>
                <w:b/>
                <w:bCs/>
                <w:color w:val="000000"/>
                <w:kern w:val="0"/>
                <w:sz w:val="22"/>
                <w:szCs w:val="22"/>
                <w:lang w:val="pt-BR" w:bidi="ar-SA"/>
              </w:rPr>
              <w:t>A</w:t>
            </w:r>
            <w:r>
              <w:rPr>
                <w:rStyle w:val="47"/>
                <w:b/>
                <w:bCs/>
                <w:kern w:val="0"/>
                <w:sz w:val="22"/>
                <w:szCs w:val="22"/>
                <w:lang w:val="pt-BR" w:bidi="ar-SA"/>
              </w:rPr>
              <w:t>mpla</w:t>
            </w:r>
          </w:p>
        </w:tc>
        <w:tc>
          <w:tcPr>
            <w:tcW w:w="2743" w:type="dxa"/>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Reserva de Cota ME/EPP?</w:t>
            </w:r>
          </w:p>
          <w:p>
            <w:pPr>
              <w:pStyle w:val="3"/>
              <w:widowControl/>
              <w:suppressAutoHyphens/>
              <w:spacing w:before="0" w:beforeAutospacing="0" w:after="0" w:afterAutospacing="0"/>
              <w:jc w:val="center"/>
              <w:textAlignment w:val="baseline"/>
              <w:rPr>
                <w:kern w:val="0"/>
                <w:lang w:val="pt-BR" w:bidi="ar-SA"/>
              </w:rPr>
            </w:pPr>
            <w:r>
              <w:rPr>
                <w:rStyle w:val="45"/>
                <w:b/>
                <w:bCs/>
                <w:color w:val="000000" w:themeColor="text1"/>
                <w:kern w:val="0"/>
                <w:sz w:val="22"/>
                <w:szCs w:val="22"/>
                <w:lang w:val="pt-BR" w:bidi="ar-SA"/>
              </w:rPr>
              <w:t>Não</w:t>
            </w:r>
          </w:p>
        </w:tc>
        <w:tc>
          <w:tcPr>
            <w:tcW w:w="2367" w:type="dxa"/>
            <w:gridSpan w:val="2"/>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Decreto Federal nº 7.174/2010?</w:t>
            </w:r>
          </w:p>
          <w:p>
            <w:pPr>
              <w:pStyle w:val="3"/>
              <w:widowControl/>
              <w:suppressAutoHyphens/>
              <w:spacing w:before="0" w:beforeAutospacing="0" w:after="0" w:afterAutospacing="0"/>
              <w:jc w:val="center"/>
              <w:textAlignment w:val="baseline"/>
              <w:rPr>
                <w:kern w:val="0"/>
                <w:lang w:val="pt-BR" w:bidi="ar-SA"/>
              </w:rPr>
            </w:pPr>
            <w:r>
              <w:rPr>
                <w:rStyle w:val="45"/>
                <w:b/>
                <w:bCs/>
                <w:color w:val="000000" w:themeColor="text1"/>
                <w:kern w:val="0"/>
                <w:sz w:val="22"/>
                <w:szCs w:val="22"/>
                <w:lang w:val="pt-BR" w:bidi="ar-SA"/>
              </w:rPr>
              <w:t>Não</w:t>
            </w:r>
          </w:p>
        </w:tc>
        <w:tc>
          <w:tcPr>
            <w:tcW w:w="53" w:type="dxa"/>
            <w:tcBorders>
              <w:top w:val="nil"/>
              <w:bottom w:val="nil"/>
            </w:tcBorders>
          </w:tcPr>
          <w:p>
            <w:pPr>
              <w:widowControl/>
              <w:suppressAutoHyphens/>
              <w:spacing w:before="0" w:after="0" w:line="240" w:lineRule="auto"/>
              <w:jc w:val="left"/>
              <w:rPr>
                <w:rFonts w:ascii="Calibri" w:hAnsi="Calibri"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3"/>
              <w:widowControl/>
              <w:suppressAutoHyphens/>
              <w:spacing w:before="0" w:beforeAutospacing="0" w:after="0" w:afterAutospacing="0"/>
              <w:jc w:val="both"/>
              <w:textAlignment w:val="baseline"/>
              <w:rPr>
                <w:b/>
                <w:bCs/>
                <w:kern w:val="0"/>
                <w:lang w:val="pt-BR" w:bidi="ar-SA"/>
              </w:rPr>
            </w:pPr>
            <w:r>
              <w:rPr>
                <w:rStyle w:val="45"/>
                <w:b w:val="0"/>
                <w:bCs w:val="0"/>
                <w:color w:val="000000" w:themeColor="text1"/>
                <w:kern w:val="0"/>
                <w:sz w:val="22"/>
                <w:szCs w:val="22"/>
                <w:lang w:val="pt-BR" w:bidi="ar-SA"/>
              </w:rPr>
              <w:t>Registro de Preços?</w:t>
            </w:r>
          </w:p>
          <w:p>
            <w:pPr>
              <w:pStyle w:val="3"/>
              <w:widowControl/>
              <w:suppressAutoHyphens/>
              <w:spacing w:before="0" w:beforeAutospacing="0" w:after="0" w:afterAutospacing="0"/>
              <w:jc w:val="center"/>
              <w:textAlignment w:val="baseline"/>
              <w:rPr>
                <w:b/>
                <w:bCs/>
                <w:kern w:val="0"/>
                <w:lang w:val="pt-BR" w:bidi="ar-SA"/>
              </w:rPr>
            </w:pPr>
            <w:r>
              <w:rPr>
                <w:rStyle w:val="45"/>
                <w:b/>
                <w:bCs/>
                <w:color w:val="000000" w:themeColor="text1"/>
                <w:kern w:val="0"/>
                <w:sz w:val="22"/>
                <w:szCs w:val="22"/>
                <w:lang w:val="pt-BR" w:bidi="ar-SA"/>
              </w:rPr>
              <w:t>Sim</w:t>
            </w:r>
          </w:p>
        </w:tc>
        <w:tc>
          <w:tcPr>
            <w:tcW w:w="1703" w:type="dxa"/>
            <w:shd w:val="clear" w:color="auto" w:fill="DDDDDD"/>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Vistoria?</w:t>
            </w:r>
          </w:p>
          <w:p>
            <w:pPr>
              <w:pStyle w:val="3"/>
              <w:widowControl/>
              <w:suppressAutoHyphens/>
              <w:spacing w:before="0" w:beforeAutospacing="0" w:after="0" w:afterAutospacing="0"/>
              <w:jc w:val="center"/>
              <w:textAlignment w:val="baseline"/>
              <w:rPr>
                <w:kern w:val="0"/>
                <w:lang w:val="pt-BR" w:bidi="ar-SA"/>
              </w:rPr>
            </w:pPr>
            <w:r>
              <w:rPr>
                <w:rStyle w:val="45"/>
                <w:b/>
                <w:bCs/>
                <w:color w:val="000000" w:themeColor="text1"/>
                <w:kern w:val="0"/>
                <w:sz w:val="22"/>
                <w:szCs w:val="22"/>
                <w:lang w:val="pt-BR" w:bidi="ar-SA"/>
              </w:rPr>
              <w:t>Não</w:t>
            </w:r>
          </w:p>
        </w:tc>
        <w:tc>
          <w:tcPr>
            <w:tcW w:w="2743" w:type="dxa"/>
            <w:shd w:val="clear" w:color="auto" w:fill="DDDDDD"/>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Amostra?</w:t>
            </w:r>
          </w:p>
          <w:p>
            <w:pPr>
              <w:pStyle w:val="3"/>
              <w:widowControl/>
              <w:suppressAutoHyphens/>
              <w:spacing w:before="0" w:beforeAutospacing="0" w:after="0" w:afterAutospacing="0"/>
              <w:jc w:val="center"/>
              <w:textAlignment w:val="baseline"/>
              <w:rPr>
                <w:kern w:val="0"/>
                <w:lang w:val="pt-BR" w:bidi="ar-SA"/>
              </w:rPr>
            </w:pPr>
            <w:r>
              <w:rPr>
                <w:rStyle w:val="45"/>
                <w:b/>
                <w:bCs/>
                <w:color w:val="000000" w:themeColor="text1"/>
                <w:kern w:val="0"/>
                <w:sz w:val="22"/>
                <w:szCs w:val="22"/>
                <w:lang w:val="pt-BR" w:bidi="ar-SA"/>
              </w:rPr>
              <w:t>Não</w:t>
            </w:r>
          </w:p>
        </w:tc>
        <w:tc>
          <w:tcPr>
            <w:tcW w:w="2367" w:type="dxa"/>
            <w:gridSpan w:val="2"/>
            <w:shd w:val="clear" w:color="auto" w:fill="DDDDDD"/>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Instrumento Contratual?</w:t>
            </w:r>
          </w:p>
          <w:p>
            <w:pPr>
              <w:pStyle w:val="3"/>
              <w:widowControl/>
              <w:suppressAutoHyphens/>
              <w:spacing w:before="0" w:beforeAutospacing="0" w:after="0" w:afterAutospacing="0"/>
              <w:jc w:val="center"/>
              <w:textAlignment w:val="baseline"/>
              <w:rPr>
                <w:kern w:val="0"/>
                <w:lang w:val="pt-BR" w:bidi="ar-SA"/>
              </w:rPr>
            </w:pPr>
            <w:r>
              <w:rPr>
                <w:rStyle w:val="45"/>
                <w:b/>
                <w:bCs/>
                <w:color w:val="000000" w:themeColor="text1"/>
                <w:kern w:val="0"/>
                <w:sz w:val="22"/>
                <w:szCs w:val="22"/>
                <w:lang w:val="pt-BR" w:bidi="ar-SA"/>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Calibri" w:hAnsi="Calibri"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5"/>
          </w:tcPr>
          <w:p>
            <w:pPr>
              <w:pStyle w:val="3"/>
              <w:widowControl/>
              <w:suppressAutoHyphens/>
              <w:spacing w:before="0" w:beforeAutospacing="0" w:after="0" w:afterAutospacing="0"/>
              <w:jc w:val="both"/>
              <w:textAlignment w:val="baseline"/>
              <w:rPr>
                <w:b/>
                <w:bCs/>
                <w:kern w:val="0"/>
                <w:lang w:val="pt-BR" w:bidi="ar-SA"/>
              </w:rPr>
            </w:pPr>
            <w:r>
              <w:rPr>
                <w:rStyle w:val="45"/>
                <w:b w:val="0"/>
                <w:bCs w:val="0"/>
                <w:color w:val="000000" w:themeColor="text1"/>
                <w:kern w:val="0"/>
                <w:sz w:val="22"/>
                <w:szCs w:val="22"/>
                <w:lang w:val="pt-BR" w:bidi="ar-SA"/>
              </w:rPr>
              <w:t>Objeto:</w:t>
            </w:r>
          </w:p>
          <w:p>
            <w:pPr>
              <w:pStyle w:val="3"/>
              <w:widowControl/>
              <w:suppressAutoHyphens/>
              <w:spacing w:before="0" w:beforeAutospacing="0" w:after="0" w:afterAutospacing="0"/>
              <w:ind w:firstLine="317"/>
              <w:jc w:val="both"/>
              <w:textAlignment w:val="baseline"/>
              <w:rPr>
                <w:rFonts w:ascii="Times New Roman" w:hAnsi="Times New Roman"/>
                <w:b/>
                <w:bCs/>
                <w:kern w:val="0"/>
                <w:sz w:val="22"/>
                <w:szCs w:val="22"/>
                <w:lang w:val="pt-BR" w:bidi="ar-SA"/>
              </w:rPr>
            </w:pPr>
            <w:r>
              <w:rPr>
                <w:b/>
                <w:bCs/>
                <w:color w:val="000000"/>
                <w:kern w:val="0"/>
                <w:sz w:val="22"/>
                <w:szCs w:val="22"/>
                <w:lang w:val="pt-BR" w:bidi="ar-SA"/>
              </w:rPr>
              <w:t>Contratação de Empresa Especializada em Gerenciamento de Frotas e Combustível.</w:t>
            </w:r>
          </w:p>
        </w:tc>
        <w:tc>
          <w:tcPr>
            <w:tcW w:w="53" w:type="dxa"/>
            <w:tcBorders>
              <w:top w:val="nil"/>
              <w:bottom w:val="nil"/>
            </w:tcBorders>
          </w:tcPr>
          <w:p>
            <w:pPr>
              <w:widowControl/>
              <w:suppressAutoHyphens/>
              <w:spacing w:before="0" w:after="0" w:line="240" w:lineRule="auto"/>
              <w:jc w:val="left"/>
              <w:rPr>
                <w:rFonts w:ascii="Calibri" w:hAnsi="Calibri"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5"/>
            <w:shd w:val="clear" w:color="auto" w:fill="DDDDDD"/>
          </w:tcPr>
          <w:p>
            <w:pPr>
              <w:pStyle w:val="3"/>
              <w:widowControl/>
              <w:suppressAutoHyphens/>
              <w:spacing w:before="0" w:beforeAutospacing="0" w:after="0" w:afterAutospacing="0"/>
              <w:jc w:val="both"/>
              <w:textAlignment w:val="baseline"/>
              <w:rPr>
                <w:b/>
                <w:bCs/>
              </w:rPr>
            </w:pPr>
            <w:r>
              <w:rPr>
                <w:rStyle w:val="45"/>
                <w:b w:val="0"/>
                <w:bCs w:val="0"/>
                <w:color w:val="000000" w:themeColor="text1"/>
                <w:kern w:val="0"/>
                <w:sz w:val="24"/>
                <w:szCs w:val="24"/>
                <w:lang w:val="pt-BR" w:bidi="ar-SA"/>
              </w:rPr>
              <w:t>Valor Estimado:</w:t>
            </w:r>
          </w:p>
          <w:p>
            <w:pPr>
              <w:pStyle w:val="3"/>
              <w:widowControl/>
              <w:suppressAutoHyphens/>
              <w:spacing w:before="0" w:beforeAutospacing="0" w:after="0" w:afterAutospacing="0"/>
              <w:ind w:left="317"/>
              <w:jc w:val="both"/>
              <w:textAlignment w:val="baseline"/>
              <w:rPr>
                <w:b/>
                <w:bCs/>
              </w:rPr>
            </w:pPr>
            <w:r>
              <w:rPr>
                <w:rStyle w:val="45"/>
                <w:rFonts w:cs="Times New Roman"/>
                <w:b/>
                <w:bCs/>
                <w:color w:val="000000" w:themeColor="text1"/>
                <w:kern w:val="0"/>
                <w:sz w:val="24"/>
                <w:szCs w:val="24"/>
                <w:shd w:val="clear" w:fill="auto"/>
                <w:lang w:val="pt-BR" w:bidi="ar-SA"/>
              </w:rPr>
              <w:t>R$   194.963,00 (Cento e noventa e quatro mil novecentos e sessenta e três reais).</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Calibri" w:hAnsi="Calibri"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3"/>
              <w:widowControl/>
              <w:suppressAutoHyphens/>
              <w:spacing w:before="0" w:beforeAutospacing="0" w:after="0" w:afterAutospacing="0"/>
              <w:jc w:val="both"/>
              <w:textAlignment w:val="baseline"/>
              <w:rPr>
                <w:b/>
                <w:bCs/>
              </w:rPr>
            </w:pPr>
            <w:r>
              <w:rPr>
                <w:rStyle w:val="45"/>
                <w:b w:val="0"/>
                <w:bCs w:val="0"/>
                <w:color w:val="000000" w:themeColor="text1"/>
                <w:kern w:val="0"/>
                <w:sz w:val="22"/>
                <w:szCs w:val="22"/>
                <w:shd w:val="clear" w:fill="auto"/>
                <w:lang w:val="pt-BR" w:bidi="ar-SA"/>
              </w:rPr>
              <w:t>Pregoeiro:</w:t>
            </w:r>
          </w:p>
          <w:p>
            <w:pPr>
              <w:pStyle w:val="3"/>
              <w:widowControl/>
              <w:suppressAutoHyphens/>
              <w:spacing w:before="0" w:beforeAutospacing="0" w:after="0" w:afterAutospacing="0"/>
              <w:ind w:left="317"/>
              <w:jc w:val="both"/>
              <w:textAlignment w:val="baseline"/>
              <w:rPr>
                <w:b/>
                <w:bCs/>
              </w:rPr>
            </w:pPr>
            <w:r>
              <w:rPr>
                <w:rStyle w:val="45"/>
                <w:b/>
                <w:bCs/>
                <w:color w:val="000000" w:themeColor="text1"/>
                <w:kern w:val="0"/>
                <w:sz w:val="22"/>
                <w:szCs w:val="22"/>
                <w:shd w:val="clear" w:fill="auto"/>
                <w:lang w:val="pt-BR" w:bidi="ar-SA"/>
              </w:rPr>
              <w:t>Wender de Souza Barros</w:t>
            </w:r>
          </w:p>
        </w:tc>
        <w:tc>
          <w:tcPr>
            <w:tcW w:w="5110" w:type="dxa"/>
            <w:gridSpan w:val="3"/>
          </w:tcPr>
          <w:p>
            <w:pPr>
              <w:pStyle w:val="3"/>
              <w:widowControl/>
              <w:suppressAutoHyphens/>
              <w:spacing w:before="0" w:beforeAutospacing="0" w:after="0" w:afterAutospacing="0"/>
              <w:jc w:val="both"/>
              <w:textAlignment w:val="baseline"/>
            </w:pPr>
            <w:r>
              <w:rPr>
                <w:rStyle w:val="45"/>
                <w:color w:val="000000" w:themeColor="text1"/>
                <w:kern w:val="0"/>
                <w:sz w:val="22"/>
                <w:szCs w:val="22"/>
                <w:shd w:val="clear" w:fill="auto"/>
                <w:lang w:val="pt-BR" w:bidi="ar-SA"/>
              </w:rPr>
              <w:t>Ato de Designação:</w:t>
            </w:r>
          </w:p>
          <w:p>
            <w:pPr>
              <w:pStyle w:val="65"/>
              <w:numPr>
                <w:ilvl w:val="0"/>
                <w:numId w:val="0"/>
              </w:numPr>
              <w:suppressAutoHyphens/>
              <w:spacing w:before="120" w:after="120" w:line="276" w:lineRule="auto"/>
              <w:ind w:left="0" w:firstLine="0"/>
            </w:pPr>
            <w:r>
              <w:rPr>
                <w:rStyle w:val="45"/>
                <w:rFonts w:ascii="Times New Roman" w:hAnsi="Times New Roman" w:cs="Times New Roman"/>
                <w:b/>
                <w:bCs/>
                <w:color w:val="000000" w:themeColor="text1"/>
                <w:sz w:val="22"/>
                <w:szCs w:val="22"/>
                <w:shd w:val="clear" w:fill="auto"/>
              </w:rPr>
              <w:t xml:space="preserve"> Portaria nº 77/2024</w:t>
            </w:r>
          </w:p>
        </w:tc>
        <w:tc>
          <w:tcPr>
            <w:tcW w:w="53" w:type="dxa"/>
            <w:tcBorders>
              <w:top w:val="nil"/>
              <w:bottom w:val="nil"/>
            </w:tcBorders>
          </w:tcPr>
          <w:p>
            <w:pPr>
              <w:widowControl/>
              <w:suppressAutoHyphens/>
              <w:spacing w:before="0" w:after="0" w:line="240" w:lineRule="auto"/>
              <w:jc w:val="left"/>
              <w:rPr>
                <w:rFonts w:ascii="Calibri" w:hAnsi="Calibri"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DDDDD"/>
          </w:tcPr>
          <w:p>
            <w:pPr>
              <w:pStyle w:val="3"/>
              <w:widowControl/>
              <w:suppressAutoHyphens/>
              <w:spacing w:before="0" w:beforeAutospacing="0" w:after="0" w:afterAutospacing="0"/>
              <w:jc w:val="both"/>
              <w:textAlignment w:val="baseline"/>
              <w:rPr>
                <w:b/>
                <w:bCs/>
                <w:kern w:val="0"/>
                <w:lang w:val="pt-BR" w:bidi="ar-SA"/>
              </w:rPr>
            </w:pPr>
            <w:r>
              <w:rPr>
                <w:rStyle w:val="45"/>
                <w:b w:val="0"/>
                <w:bCs w:val="0"/>
                <w:color w:val="000000" w:themeColor="text1"/>
                <w:kern w:val="0"/>
                <w:sz w:val="22"/>
                <w:szCs w:val="22"/>
                <w:lang w:val="pt-BR" w:bidi="ar-SA"/>
              </w:rPr>
              <w:t>Lei de Regência:</w:t>
            </w:r>
          </w:p>
          <w:p>
            <w:pPr>
              <w:pStyle w:val="3"/>
              <w:widowControl/>
              <w:suppressAutoHyphens/>
              <w:spacing w:before="0" w:beforeAutospacing="0" w:after="0" w:afterAutospacing="0"/>
              <w:ind w:left="317"/>
              <w:jc w:val="both"/>
              <w:textAlignment w:val="baseline"/>
              <w:rPr>
                <w:b/>
                <w:bCs/>
                <w:kern w:val="0"/>
                <w:lang w:val="pt-BR" w:bidi="ar-SA"/>
              </w:rPr>
            </w:pPr>
            <w:r>
              <w:rPr>
                <w:rStyle w:val="45"/>
                <w:b/>
                <w:bCs/>
                <w:color w:val="000000" w:themeColor="text1"/>
                <w:kern w:val="0"/>
                <w:sz w:val="22"/>
                <w:szCs w:val="22"/>
                <w:lang w:val="pt-BR" w:bidi="ar-SA"/>
              </w:rPr>
              <w:t>Lei Federal nº 14.133, de 2021</w:t>
            </w:r>
          </w:p>
        </w:tc>
        <w:tc>
          <w:tcPr>
            <w:tcW w:w="5110" w:type="dxa"/>
            <w:gridSpan w:val="3"/>
            <w:shd w:val="clear" w:color="auto" w:fill="CCCCCC" w:themeFill="text1" w:themeFillTint="33"/>
          </w:tcPr>
          <w:p>
            <w:pPr>
              <w:pStyle w:val="3"/>
              <w:widowControl/>
              <w:suppressAutoHyphens/>
              <w:spacing w:before="0" w:beforeAutospacing="0" w:after="0" w:afterAutospacing="0"/>
              <w:jc w:val="both"/>
              <w:textAlignment w:val="baseline"/>
              <w:rPr>
                <w:kern w:val="0"/>
                <w:lang w:val="pt-BR" w:bidi="ar-SA"/>
              </w:rPr>
            </w:pPr>
            <w:r>
              <w:rPr>
                <w:rStyle w:val="45"/>
                <w:color w:val="000000" w:themeColor="text1"/>
                <w:kern w:val="0"/>
                <w:sz w:val="22"/>
                <w:szCs w:val="22"/>
                <w:lang w:val="pt-BR" w:bidi="ar-SA"/>
              </w:rPr>
              <w:t>Lei Complementar:</w:t>
            </w:r>
          </w:p>
          <w:p>
            <w:pPr>
              <w:pStyle w:val="3"/>
              <w:widowControl/>
              <w:suppressAutoHyphens/>
              <w:spacing w:before="0" w:beforeAutospacing="0" w:after="0" w:afterAutospacing="0"/>
              <w:ind w:left="321"/>
              <w:jc w:val="both"/>
              <w:textAlignment w:val="baseline"/>
              <w:rPr>
                <w:kern w:val="0"/>
                <w:lang w:val="pt-BR" w:bidi="ar-SA"/>
              </w:rPr>
            </w:pPr>
            <w:r>
              <w:rPr>
                <w:rStyle w:val="45"/>
                <w:b/>
                <w:bCs/>
                <w:color w:val="000000" w:themeColor="text1"/>
                <w:kern w:val="0"/>
                <w:sz w:val="22"/>
                <w:szCs w:val="22"/>
                <w:lang w:val="pt-BR" w:bidi="ar-SA"/>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Calibri" w:hAnsi="Calibri" w:eastAsia="Calibri"/>
                <w:kern w:val="0"/>
                <w:sz w:val="22"/>
                <w:szCs w:val="22"/>
                <w:lang w:val="pt-BR" w:eastAsia="en-US" w:bidi="ar-SA"/>
              </w:rPr>
            </w:pPr>
          </w:p>
        </w:tc>
      </w:tr>
    </w:tbl>
    <w:p>
      <w:pPr>
        <w:pStyle w:val="3"/>
        <w:spacing w:before="360" w:beforeAutospacing="0" w:after="120" w:afterAutospacing="0"/>
        <w:ind w:firstLine="0"/>
        <w:jc w:val="both"/>
        <w:textAlignment w:val="baseline"/>
      </w:pPr>
      <w:r>
        <w:rPr>
          <w:rStyle w:val="45"/>
          <w:color w:val="000000" w:themeColor="text1"/>
        </w:rPr>
        <w:tab/>
      </w:r>
      <w:r>
        <w:rPr>
          <w:rStyle w:val="45"/>
          <w:color w:val="000000" w:themeColor="text1"/>
          <w:sz w:val="22"/>
          <w:szCs w:val="22"/>
        </w:rPr>
        <w:t xml:space="preserve">O Município de Primavera do Leste - MT, por intermédio da Câmara Municipal de Primavera do Leste - MT, torna público que realizará licitação na modalidade Pregão, na forma eletrônica, em modo de disputa aberto, para </w:t>
      </w:r>
      <w:r>
        <w:rPr>
          <w:color w:val="000000"/>
          <w:sz w:val="22"/>
          <w:szCs w:val="22"/>
        </w:rPr>
        <w:t xml:space="preserve">Contratação, pelo </w:t>
      </w:r>
      <w:r>
        <w:rPr>
          <w:sz w:val="22"/>
          <w:szCs w:val="22"/>
        </w:rPr>
        <w:t xml:space="preserve">Sistema de Registro de Preços, </w:t>
      </w:r>
      <w:r>
        <w:rPr>
          <w:color w:val="000000"/>
          <w:sz w:val="22"/>
          <w:szCs w:val="22"/>
        </w:rPr>
        <w:t xml:space="preserve">de serviços </w:t>
      </w:r>
      <w:r>
        <w:rPr>
          <w:b/>
          <w:bCs/>
          <w:color w:val="000000"/>
          <w:kern w:val="0"/>
          <w:sz w:val="22"/>
          <w:szCs w:val="22"/>
          <w:lang w:val="pt-BR" w:bidi="ar-SA"/>
        </w:rPr>
        <w:t xml:space="preserve">Contratação de empresa Especializada em Gerenciamento de Frotas e Combustível, </w:t>
      </w:r>
      <w:r>
        <w:rPr>
          <w:color w:val="000000"/>
          <w:sz w:val="22"/>
          <w:szCs w:val="22"/>
        </w:rPr>
        <w:t xml:space="preserve">  </w:t>
      </w:r>
      <w:r>
        <w:rPr>
          <w:b/>
          <w:bCs/>
          <w:color w:val="000000"/>
          <w:sz w:val="22"/>
          <w:szCs w:val="22"/>
        </w:rPr>
        <w:t>por menor taxa de administração,</w:t>
      </w:r>
      <w:r>
        <w:rPr>
          <w:color w:val="000000"/>
          <w:sz w:val="22"/>
          <w:szCs w:val="22"/>
        </w:rPr>
        <w:t xml:space="preserve"> </w:t>
      </w:r>
      <w:r>
        <w:rPr>
          <w:rStyle w:val="45"/>
          <w:color w:val="000000" w:themeColor="text1"/>
          <w:sz w:val="22"/>
          <w:szCs w:val="22"/>
        </w:rPr>
        <w:t xml:space="preserve">conforme especificações, condições, quantidades e prazos constantes do </w:t>
      </w:r>
      <w:r>
        <w:fldChar w:fldCharType="begin"/>
      </w:r>
      <w:r>
        <w:instrText xml:space="preserve"> HYPERLINK \l "_ANEXO_I_-_1" \h </w:instrText>
      </w:r>
      <w:r>
        <w:fldChar w:fldCharType="separate"/>
      </w:r>
      <w:r>
        <w:rPr>
          <w:rStyle w:val="54"/>
          <w:sz w:val="22"/>
          <w:szCs w:val="22"/>
        </w:rPr>
        <w:t>Termo de Referência - Anexo I deste Edital</w:t>
      </w:r>
      <w:r>
        <w:rPr>
          <w:rStyle w:val="54"/>
          <w:sz w:val="22"/>
          <w:szCs w:val="22"/>
        </w:rPr>
        <w:fldChar w:fldCharType="end"/>
      </w:r>
      <w:r>
        <w:rPr>
          <w:rStyle w:val="45"/>
          <w:color w:val="000000" w:themeColor="text1"/>
          <w:sz w:val="22"/>
          <w:szCs w:val="22"/>
        </w:rPr>
        <w:t xml:space="preserve">. </w:t>
      </w:r>
    </w:p>
    <w:p>
      <w:pPr>
        <w:pStyle w:val="3"/>
        <w:spacing w:before="120" w:beforeAutospacing="0" w:after="120" w:afterAutospacing="0"/>
        <w:ind w:firstLine="567"/>
        <w:jc w:val="both"/>
        <w:textAlignment w:val="baseline"/>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45"/>
          <w:color w:val="000000" w:themeColor="text1"/>
          <w:sz w:val="22"/>
          <w:szCs w:val="22"/>
        </w:rPr>
        <w:t xml:space="preserve">A licitação será regida pela </w:t>
      </w:r>
      <w:r>
        <w:fldChar w:fldCharType="begin"/>
      </w:r>
      <w:r>
        <w:instrText xml:space="preserve"> HYPERLINK "https://www.planalto.gov.br/ccivil_03/_ato2019-2022/2021/lei/l14133.htm" \h </w:instrText>
      </w:r>
      <w:r>
        <w:fldChar w:fldCharType="separate"/>
      </w:r>
      <w:r>
        <w:rPr>
          <w:rStyle w:val="54"/>
          <w:sz w:val="22"/>
          <w:szCs w:val="22"/>
        </w:rPr>
        <w:t>Lei Federal nº 14.133, de 2021</w:t>
      </w:r>
      <w:r>
        <w:rPr>
          <w:rStyle w:val="54"/>
          <w:sz w:val="22"/>
          <w:szCs w:val="22"/>
        </w:rPr>
        <w:fldChar w:fldCharType="end"/>
      </w:r>
      <w:r>
        <w:rPr>
          <w:rStyle w:val="45"/>
          <w:color w:val="000000" w:themeColor="text1"/>
          <w:sz w:val="22"/>
          <w:szCs w:val="22"/>
        </w:rPr>
        <w:t xml:space="preserve"> e, complementarmente, pela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themeColor="text1"/>
          <w:sz w:val="22"/>
          <w:szCs w:val="22"/>
          <w:shd w:val="clear" w:fill="auto"/>
        </w:rPr>
        <w:t>, pelas Resoluções 042/</w:t>
      </w:r>
      <w:r>
        <w:rPr>
          <w:rStyle w:val="45"/>
          <w:color w:val="000000" w:themeColor="text1"/>
          <w:sz w:val="22"/>
          <w:szCs w:val="22"/>
          <w:shd w:val="clear" w:fill="auto"/>
          <w:lang w:val="pt-BR"/>
        </w:rPr>
        <w:t>2023</w:t>
      </w:r>
      <w:r>
        <w:rPr>
          <w:rStyle w:val="45"/>
          <w:color w:val="000000" w:themeColor="text1"/>
          <w:sz w:val="22"/>
          <w:szCs w:val="22"/>
          <w:shd w:val="clear" w:fill="auto"/>
        </w:rPr>
        <w:t>, 043/</w:t>
      </w:r>
      <w:r>
        <w:rPr>
          <w:rStyle w:val="45"/>
          <w:color w:val="000000" w:themeColor="text1"/>
          <w:sz w:val="22"/>
          <w:szCs w:val="22"/>
          <w:shd w:val="clear" w:fill="auto"/>
          <w:lang w:val="pt-BR"/>
        </w:rPr>
        <w:t>2023</w:t>
      </w:r>
      <w:r>
        <w:rPr>
          <w:rStyle w:val="45"/>
          <w:color w:val="000000" w:themeColor="text1"/>
          <w:sz w:val="22"/>
          <w:szCs w:val="22"/>
          <w:shd w:val="clear" w:fill="auto"/>
        </w:rPr>
        <w:t>, 044/</w:t>
      </w:r>
      <w:r>
        <w:rPr>
          <w:rStyle w:val="45"/>
          <w:color w:val="000000" w:themeColor="text1"/>
          <w:sz w:val="22"/>
          <w:szCs w:val="22"/>
          <w:shd w:val="clear" w:fill="auto"/>
          <w:lang w:val="pt-BR"/>
        </w:rPr>
        <w:t>2023</w:t>
      </w:r>
      <w:r>
        <w:rPr>
          <w:rStyle w:val="45"/>
          <w:color w:val="000000" w:themeColor="text1"/>
          <w:sz w:val="22"/>
          <w:szCs w:val="22"/>
          <w:shd w:val="clear" w:fill="auto"/>
        </w:rPr>
        <w:t>, 046/</w:t>
      </w:r>
      <w:r>
        <w:rPr>
          <w:rStyle w:val="45"/>
          <w:color w:val="000000" w:themeColor="text1"/>
          <w:sz w:val="22"/>
          <w:szCs w:val="22"/>
          <w:shd w:val="clear" w:fill="auto"/>
          <w:lang w:val="pt-BR"/>
        </w:rPr>
        <w:t>2023</w:t>
      </w:r>
      <w:r>
        <w:rPr>
          <w:rStyle w:val="45"/>
          <w:color w:val="000000" w:themeColor="text1"/>
          <w:sz w:val="22"/>
          <w:szCs w:val="22"/>
          <w:shd w:val="clear" w:fill="auto"/>
        </w:rPr>
        <w:t>,  048/</w:t>
      </w:r>
      <w:r>
        <w:rPr>
          <w:rStyle w:val="45"/>
          <w:color w:val="000000" w:themeColor="text1"/>
          <w:sz w:val="22"/>
          <w:szCs w:val="22"/>
          <w:shd w:val="clear" w:fill="auto"/>
          <w:lang w:val="pt-BR"/>
        </w:rPr>
        <w:t>2023</w:t>
      </w:r>
      <w:r>
        <w:rPr>
          <w:rStyle w:val="45"/>
          <w:color w:val="000000" w:themeColor="text1"/>
          <w:sz w:val="22"/>
          <w:szCs w:val="22"/>
          <w:shd w:val="clear" w:fill="auto"/>
        </w:rPr>
        <w:t>, 049/</w:t>
      </w:r>
      <w:r>
        <w:rPr>
          <w:rStyle w:val="45"/>
          <w:color w:val="000000" w:themeColor="text1"/>
          <w:sz w:val="22"/>
          <w:szCs w:val="22"/>
          <w:shd w:val="clear" w:fill="auto"/>
          <w:lang w:val="pt-BR"/>
        </w:rPr>
        <w:t>2023</w:t>
      </w:r>
      <w:r>
        <w:rPr>
          <w:rStyle w:val="45"/>
          <w:color w:val="000000" w:themeColor="text1"/>
          <w:sz w:val="22"/>
          <w:szCs w:val="22"/>
          <w:shd w:val="clear" w:fill="auto"/>
        </w:rPr>
        <w:t>, 050/</w:t>
      </w:r>
      <w:r>
        <w:rPr>
          <w:rStyle w:val="45"/>
          <w:color w:val="000000" w:themeColor="text1"/>
          <w:sz w:val="22"/>
          <w:szCs w:val="22"/>
          <w:shd w:val="clear" w:fill="auto"/>
          <w:lang w:val="pt-BR"/>
        </w:rPr>
        <w:t>2023</w:t>
      </w:r>
      <w:r>
        <w:rPr>
          <w:rStyle w:val="45"/>
          <w:color w:val="000000" w:themeColor="text1"/>
          <w:sz w:val="22"/>
          <w:szCs w:val="22"/>
          <w:shd w:val="clear" w:fill="auto"/>
        </w:rPr>
        <w:t>, 051/</w:t>
      </w:r>
      <w:r>
        <w:rPr>
          <w:rStyle w:val="45"/>
          <w:color w:val="000000" w:themeColor="text1"/>
          <w:sz w:val="22"/>
          <w:szCs w:val="22"/>
          <w:shd w:val="clear" w:fill="auto"/>
          <w:lang w:val="pt-BR"/>
        </w:rPr>
        <w:t>2023</w:t>
      </w:r>
      <w:r>
        <w:rPr>
          <w:rStyle w:val="45"/>
          <w:color w:val="000000" w:themeColor="text1"/>
          <w:sz w:val="22"/>
          <w:szCs w:val="22"/>
          <w:shd w:val="clear" w:fill="auto"/>
        </w:rPr>
        <w:t>, 052/</w:t>
      </w:r>
      <w:r>
        <w:rPr>
          <w:rStyle w:val="45"/>
          <w:color w:val="000000" w:themeColor="text1"/>
          <w:sz w:val="22"/>
          <w:szCs w:val="22"/>
          <w:shd w:val="clear" w:fill="auto"/>
          <w:lang w:val="pt-BR"/>
        </w:rPr>
        <w:t>2023</w:t>
      </w:r>
      <w:r>
        <w:rPr>
          <w:rStyle w:val="45"/>
          <w:color w:val="000000" w:themeColor="text1"/>
          <w:sz w:val="22"/>
          <w:szCs w:val="22"/>
          <w:shd w:val="clear" w:fill="auto"/>
        </w:rPr>
        <w:t>, 053/</w:t>
      </w:r>
      <w:r>
        <w:rPr>
          <w:rStyle w:val="45"/>
          <w:color w:val="000000" w:themeColor="text1"/>
          <w:sz w:val="22"/>
          <w:szCs w:val="22"/>
          <w:shd w:val="clear" w:fill="auto"/>
          <w:lang w:val="pt-BR"/>
        </w:rPr>
        <w:t>2023</w:t>
      </w:r>
      <w:r>
        <w:rPr>
          <w:rStyle w:val="45"/>
          <w:color w:val="000000" w:themeColor="text1"/>
          <w:sz w:val="22"/>
          <w:szCs w:val="22"/>
          <w:shd w:val="clear" w:fill="auto"/>
        </w:rPr>
        <w:t>, 055/</w:t>
      </w:r>
      <w:r>
        <w:rPr>
          <w:rStyle w:val="45"/>
          <w:color w:val="000000" w:themeColor="text1"/>
          <w:sz w:val="22"/>
          <w:szCs w:val="22"/>
          <w:shd w:val="clear" w:fill="auto"/>
          <w:lang w:val="pt-BR"/>
        </w:rPr>
        <w:t>2023</w:t>
      </w:r>
      <w:r>
        <w:rPr>
          <w:rStyle w:val="45"/>
          <w:color w:val="000000" w:themeColor="text1"/>
          <w:sz w:val="22"/>
          <w:szCs w:val="22"/>
          <w:shd w:val="clear" w:fill="auto"/>
        </w:rPr>
        <w:t>, 055/</w:t>
      </w:r>
      <w:r>
        <w:rPr>
          <w:rStyle w:val="45"/>
          <w:color w:val="000000" w:themeColor="text1"/>
          <w:sz w:val="22"/>
          <w:szCs w:val="22"/>
          <w:shd w:val="clear" w:fill="auto"/>
          <w:lang w:val="pt-BR"/>
        </w:rPr>
        <w:t>2023</w:t>
      </w:r>
      <w:r>
        <w:rPr>
          <w:rStyle w:val="45"/>
          <w:color w:val="000000" w:themeColor="text1"/>
          <w:sz w:val="22"/>
          <w:szCs w:val="22"/>
          <w:shd w:val="clear" w:fill="auto"/>
        </w:rPr>
        <w:t>, 056/</w:t>
      </w:r>
      <w:r>
        <w:rPr>
          <w:rStyle w:val="45"/>
          <w:color w:val="000000" w:themeColor="text1"/>
          <w:sz w:val="22"/>
          <w:szCs w:val="22"/>
          <w:shd w:val="clear" w:fill="auto"/>
          <w:lang w:val="pt-BR"/>
        </w:rPr>
        <w:t>2023</w:t>
      </w:r>
      <w:r>
        <w:rPr>
          <w:rStyle w:val="45"/>
          <w:color w:val="000000" w:themeColor="text1"/>
          <w:sz w:val="22"/>
          <w:szCs w:val="22"/>
          <w:shd w:val="clear" w:fill="auto"/>
        </w:rPr>
        <w:t>, 057/</w:t>
      </w:r>
      <w:r>
        <w:rPr>
          <w:rStyle w:val="45"/>
          <w:color w:val="000000" w:themeColor="text1"/>
          <w:sz w:val="22"/>
          <w:szCs w:val="22"/>
          <w:shd w:val="clear" w:fill="auto"/>
          <w:lang w:val="pt-BR"/>
        </w:rPr>
        <w:t>2023</w:t>
      </w:r>
      <w:r>
        <w:rPr>
          <w:rStyle w:val="45"/>
          <w:color w:val="000000" w:themeColor="text1"/>
          <w:sz w:val="22"/>
          <w:szCs w:val="22"/>
          <w:shd w:val="clear" w:fill="auto"/>
        </w:rPr>
        <w:t>, 058/</w:t>
      </w:r>
      <w:r>
        <w:rPr>
          <w:rStyle w:val="45"/>
          <w:color w:val="000000" w:themeColor="text1"/>
          <w:sz w:val="22"/>
          <w:szCs w:val="22"/>
          <w:shd w:val="clear" w:fill="auto"/>
          <w:lang w:val="pt-BR"/>
        </w:rPr>
        <w:t>2023</w:t>
      </w:r>
      <w:r>
        <w:rPr>
          <w:rStyle w:val="45"/>
          <w:color w:val="000000" w:themeColor="text1"/>
          <w:sz w:val="22"/>
          <w:szCs w:val="22"/>
          <w:shd w:val="clear" w:fill="auto"/>
        </w:rPr>
        <w:t>, 059/</w:t>
      </w:r>
      <w:r>
        <w:rPr>
          <w:rStyle w:val="45"/>
          <w:color w:val="000000" w:themeColor="text1"/>
          <w:sz w:val="22"/>
          <w:szCs w:val="22"/>
          <w:shd w:val="clear" w:fill="auto"/>
          <w:lang w:val="pt-BR"/>
        </w:rPr>
        <w:t>2023</w:t>
      </w:r>
      <w:r>
        <w:rPr>
          <w:rStyle w:val="45"/>
          <w:color w:val="000000" w:themeColor="text1"/>
          <w:sz w:val="22"/>
          <w:szCs w:val="22"/>
          <w:shd w:val="clear" w:fill="auto"/>
        </w:rPr>
        <w:t>, 06</w:t>
      </w:r>
      <w:r>
        <w:rPr>
          <w:rStyle w:val="45"/>
          <w:color w:val="000000" w:themeColor="text1"/>
          <w:sz w:val="22"/>
          <w:szCs w:val="22"/>
          <w:shd w:val="clear" w:fill="auto"/>
          <w:lang w:val="pt-BR"/>
        </w:rPr>
        <w:t>2</w:t>
      </w:r>
      <w:r>
        <w:rPr>
          <w:rStyle w:val="45"/>
          <w:color w:val="000000" w:themeColor="text1"/>
          <w:sz w:val="22"/>
          <w:szCs w:val="22"/>
          <w:shd w:val="clear" w:fill="auto"/>
        </w:rPr>
        <w:t>/</w:t>
      </w:r>
      <w:r>
        <w:rPr>
          <w:rStyle w:val="45"/>
          <w:color w:val="000000" w:themeColor="text1"/>
          <w:sz w:val="22"/>
          <w:szCs w:val="22"/>
          <w:shd w:val="clear" w:fill="auto"/>
          <w:lang w:val="pt-BR"/>
        </w:rPr>
        <w:t xml:space="preserve">2023 </w:t>
      </w:r>
      <w:r>
        <w:rPr>
          <w:rStyle w:val="45"/>
          <w:color w:val="000000" w:themeColor="text1"/>
          <w:sz w:val="22"/>
          <w:szCs w:val="22"/>
          <w:shd w:val="clear" w:fill="auto"/>
        </w:rPr>
        <w:t>e 06</w:t>
      </w:r>
      <w:r>
        <w:rPr>
          <w:rStyle w:val="45"/>
          <w:color w:val="000000" w:themeColor="text1"/>
          <w:sz w:val="22"/>
          <w:szCs w:val="22"/>
          <w:shd w:val="clear" w:fill="auto"/>
          <w:lang w:val="pt-BR"/>
        </w:rPr>
        <w:t>4</w:t>
      </w:r>
      <w:r>
        <w:rPr>
          <w:rStyle w:val="45"/>
          <w:color w:val="000000" w:themeColor="text1"/>
          <w:sz w:val="22"/>
          <w:szCs w:val="22"/>
          <w:shd w:val="clear" w:fill="auto"/>
        </w:rPr>
        <w:t>/2024.</w:t>
      </w:r>
    </w:p>
    <w:p>
      <w:pPr>
        <w:pStyle w:val="3"/>
        <w:spacing w:before="120" w:beforeAutospacing="0" w:after="120" w:afterAutospacing="0"/>
        <w:ind w:firstLine="567"/>
        <w:jc w:val="both"/>
        <w:textAlignment w:val="baseline"/>
        <w:rPr>
          <w:rStyle w:val="45"/>
          <w:color w:val="000000" w:themeColor="text1"/>
          <w:sz w:val="22"/>
          <w:szCs w:val="22"/>
          <w:highlight w:val="none"/>
          <w:shd w:val="clear" w:fill="FFE994"/>
        </w:rPr>
      </w:pPr>
    </w:p>
    <w:p>
      <w:pPr>
        <w:pStyle w:val="3"/>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45"/>
          <w:b/>
          <w:bCs/>
          <w:sz w:val="22"/>
          <w:szCs w:val="22"/>
        </w:rPr>
        <w:t>SUMÁRIO</w:t>
      </w:r>
    </w:p>
    <w:sdt>
      <w:sdtPr>
        <w:id w:val="-1628542201"/>
        <w:docPartObj>
          <w:docPartGallery w:val="Table of Contents"/>
          <w:docPartUnique/>
        </w:docPartObj>
      </w:sdtPr>
      <w:sdtContent>
        <w:p>
          <w:pPr>
            <w:pStyle w:val="137"/>
            <w:spacing w:before="0" w:after="0" w:line="240" w:lineRule="auto"/>
            <w:ind w:left="0" w:firstLine="0"/>
            <w:rPr>
              <w:rFonts w:ascii="Times New Roman" w:hAnsi="Times New Roman" w:cs="Times New Roman"/>
              <w:sz w:val="22"/>
              <w:szCs w:val="22"/>
            </w:rPr>
          </w:pPr>
        </w:p>
        <w:p>
          <w:pPr>
            <w:pStyle w:val="41"/>
            <w:tabs>
              <w:tab w:val="left" w:pos="440"/>
              <w:tab w:val="right" w:leader="dot" w:pos="8921"/>
            </w:tabs>
          </w:pPr>
          <w:r>
            <w:fldChar w:fldCharType="begin"/>
          </w:r>
          <w:r>
            <w:rPr>
              <w:rStyle w:val="126"/>
              <w:rFonts w:ascii="Times New Roman" w:hAnsi="Times New Roman"/>
              <w:vanish w:val="0"/>
              <w:sz w:val="22"/>
              <w:szCs w:val="22"/>
            </w:rPr>
            <w:instrText xml:space="preserve"> TOC \z \o "1-3" \u \h</w:instrText>
          </w:r>
          <w:r>
            <w:rPr>
              <w:rStyle w:val="126"/>
              <w:rFonts w:ascii="Times New Roman" w:hAnsi="Times New Roman"/>
              <w:vanish w:val="0"/>
              <w:sz w:val="22"/>
              <w:szCs w:val="22"/>
            </w:rPr>
            <w:fldChar w:fldCharType="separate"/>
          </w:r>
          <w:r>
            <w:fldChar w:fldCharType="begin"/>
          </w:r>
          <w:r>
            <w:instrText xml:space="preserve"> HYPERLINK \l "_Toc149517427" \h </w:instrText>
          </w:r>
          <w:r>
            <w:fldChar w:fldCharType="separate"/>
          </w:r>
          <w:r>
            <w:rPr>
              <w:rStyle w:val="126"/>
              <w:rFonts w:ascii="Times New Roman" w:hAnsi="Times New Roman"/>
              <w:vanish w:val="0"/>
              <w:sz w:val="22"/>
              <w:szCs w:val="22"/>
            </w:rPr>
            <w:t>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PUBLICIDADE</w:t>
          </w:r>
          <w:r>
            <w:fldChar w:fldCharType="begin"/>
          </w:r>
          <w:r>
            <w:instrText xml:space="preserve">PAGEREF _Toc149517427 \h</w:instrText>
          </w:r>
          <w:r>
            <w:fldChar w:fldCharType="separate"/>
          </w:r>
          <w:r>
            <w:t>3</w:t>
          </w:r>
          <w:r>
            <w:fldChar w:fldCharType="end"/>
          </w:r>
          <w:r>
            <w:fldChar w:fldCharType="end"/>
          </w:r>
        </w:p>
        <w:p>
          <w:pPr>
            <w:pStyle w:val="41"/>
            <w:tabs>
              <w:tab w:val="left" w:pos="440"/>
              <w:tab w:val="right" w:leader="dot" w:pos="8921"/>
            </w:tabs>
          </w:pPr>
          <w:r>
            <w:fldChar w:fldCharType="begin"/>
          </w:r>
          <w:r>
            <w:instrText xml:space="preserve"> HYPERLINK \l "_Toc149517428" \h </w:instrText>
          </w:r>
          <w:r>
            <w:fldChar w:fldCharType="separate"/>
          </w:r>
          <w:r>
            <w:rPr>
              <w:rStyle w:val="126"/>
              <w:rFonts w:ascii="Times New Roman" w:hAnsi="Times New Roman"/>
              <w:vanish w:val="0"/>
              <w:sz w:val="22"/>
              <w:szCs w:val="22"/>
            </w:rPr>
            <w:t>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PLATAFORMA ELETRÔNICA</w:t>
          </w:r>
          <w:r>
            <w:fldChar w:fldCharType="begin"/>
          </w:r>
          <w:r>
            <w:instrText xml:space="preserve">PAGEREF _Toc149517428 \h</w:instrText>
          </w:r>
          <w:r>
            <w:fldChar w:fldCharType="separate"/>
          </w:r>
          <w:r>
            <w:t>3</w:t>
          </w:r>
          <w:r>
            <w:fldChar w:fldCharType="end"/>
          </w:r>
          <w:r>
            <w:fldChar w:fldCharType="end"/>
          </w:r>
        </w:p>
        <w:p>
          <w:pPr>
            <w:pStyle w:val="41"/>
            <w:tabs>
              <w:tab w:val="left" w:pos="440"/>
              <w:tab w:val="right" w:leader="dot" w:pos="8921"/>
            </w:tabs>
          </w:pPr>
          <w:r>
            <w:fldChar w:fldCharType="begin"/>
          </w:r>
          <w:r>
            <w:instrText xml:space="preserve"> HYPERLINK \l "_Toc149517429" \h </w:instrText>
          </w:r>
          <w:r>
            <w:fldChar w:fldCharType="separate"/>
          </w:r>
          <w:r>
            <w:rPr>
              <w:rStyle w:val="126"/>
              <w:rFonts w:ascii="Times New Roman" w:hAnsi="Times New Roman"/>
              <w:vanish w:val="0"/>
              <w:sz w:val="22"/>
              <w:szCs w:val="22"/>
            </w:rPr>
            <w:t>4.</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DATA E HORÁRIO</w:t>
          </w:r>
          <w:r>
            <w:fldChar w:fldCharType="begin"/>
          </w:r>
          <w:r>
            <w:instrText xml:space="preserve">PAGEREF _Toc149517429 \h</w:instrText>
          </w:r>
          <w:r>
            <w:fldChar w:fldCharType="separate"/>
          </w:r>
          <w:r>
            <w:t>3</w:t>
          </w:r>
          <w:r>
            <w:fldChar w:fldCharType="end"/>
          </w:r>
          <w:r>
            <w:fldChar w:fldCharType="end"/>
          </w:r>
        </w:p>
        <w:p>
          <w:pPr>
            <w:pStyle w:val="41"/>
            <w:tabs>
              <w:tab w:val="left" w:pos="440"/>
              <w:tab w:val="right" w:leader="dot" w:pos="8921"/>
            </w:tabs>
          </w:pPr>
          <w:r>
            <w:fldChar w:fldCharType="begin"/>
          </w:r>
          <w:r>
            <w:instrText xml:space="preserve"> HYPERLINK \l "_Toc149517430" \h </w:instrText>
          </w:r>
          <w:r>
            <w:fldChar w:fldCharType="separate"/>
          </w:r>
          <w:r>
            <w:rPr>
              <w:rStyle w:val="126"/>
              <w:rFonts w:ascii="Times New Roman" w:hAnsi="Times New Roman"/>
              <w:vanish w:val="0"/>
              <w:sz w:val="22"/>
              <w:szCs w:val="22"/>
            </w:rPr>
            <w:t>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AGENTE DE CONTRAÇÃO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4</w:t>
          </w:r>
        </w:p>
        <w:p>
          <w:pPr>
            <w:pStyle w:val="41"/>
            <w:tabs>
              <w:tab w:val="left" w:pos="440"/>
              <w:tab w:val="right" w:leader="dot" w:pos="8921"/>
            </w:tabs>
          </w:pPr>
          <w:r>
            <w:fldChar w:fldCharType="begin"/>
          </w:r>
          <w:r>
            <w:instrText xml:space="preserve"> HYPERLINK \l "_Toc149517431" \h </w:instrText>
          </w:r>
          <w:r>
            <w:fldChar w:fldCharType="separate"/>
          </w:r>
          <w:r>
            <w:rPr>
              <w:rStyle w:val="126"/>
              <w:rFonts w:ascii="Times New Roman" w:hAnsi="Times New Roman"/>
              <w:vanish w:val="0"/>
              <w:sz w:val="22"/>
              <w:szCs w:val="22"/>
            </w:rPr>
            <w:t>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OBJETO</w:t>
          </w:r>
          <w:r>
            <w:fldChar w:fldCharType="begin"/>
          </w:r>
          <w:r>
            <w:instrText xml:space="preserve">PAGEREF _Toc149517431 \h</w:instrText>
          </w:r>
          <w:r>
            <w:fldChar w:fldCharType="separate"/>
          </w:r>
          <w:r>
            <w:t>4</w:t>
          </w:r>
          <w:r>
            <w:fldChar w:fldCharType="end"/>
          </w:r>
          <w:r>
            <w:fldChar w:fldCharType="end"/>
          </w:r>
        </w:p>
        <w:p>
          <w:pPr>
            <w:pStyle w:val="41"/>
            <w:tabs>
              <w:tab w:val="left" w:pos="440"/>
              <w:tab w:val="right" w:leader="dot" w:pos="8921"/>
            </w:tabs>
          </w:pPr>
          <w:r>
            <w:fldChar w:fldCharType="begin"/>
          </w:r>
          <w:r>
            <w:instrText xml:space="preserve"> HYPERLINK \l "_Toc149517432" \h </w:instrText>
          </w:r>
          <w:r>
            <w:fldChar w:fldCharType="separate"/>
          </w:r>
          <w:r>
            <w:rPr>
              <w:rStyle w:val="126"/>
              <w:rFonts w:ascii="Times New Roman" w:hAnsi="Times New Roman"/>
              <w:vanish w:val="0"/>
              <w:sz w:val="22"/>
              <w:szCs w:val="22"/>
            </w:rPr>
            <w:t>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CONDIÇÕES PARA PARTICIPAÇÃO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w:t>
          </w:r>
        </w:p>
        <w:p>
          <w:pPr>
            <w:pStyle w:val="41"/>
            <w:tabs>
              <w:tab w:val="left" w:pos="440"/>
              <w:tab w:val="right" w:leader="dot" w:pos="8921"/>
            </w:tabs>
          </w:pPr>
          <w:r>
            <w:fldChar w:fldCharType="begin"/>
          </w:r>
          <w:r>
            <w:instrText xml:space="preserve"> HYPERLINK \l "_Toc149517433" \h </w:instrText>
          </w:r>
          <w:r>
            <w:fldChar w:fldCharType="separate"/>
          </w:r>
          <w:r>
            <w:rPr>
              <w:rStyle w:val="126"/>
              <w:rFonts w:ascii="Times New Roman" w:hAnsi="Times New Roman"/>
              <w:vanish w:val="0"/>
              <w:sz w:val="22"/>
              <w:szCs w:val="22"/>
            </w:rPr>
            <w:t>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CONSÓRCIO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1"/>
            <w:tabs>
              <w:tab w:val="left" w:pos="440"/>
              <w:tab w:val="right" w:leader="dot" w:pos="8921"/>
            </w:tabs>
          </w:pPr>
          <w:r>
            <w:fldChar w:fldCharType="begin"/>
          </w:r>
          <w:r>
            <w:instrText xml:space="preserve"> HYPERLINK \l "_Toc149517434" \h </w:instrText>
          </w:r>
          <w:r>
            <w:fldChar w:fldCharType="separate"/>
          </w:r>
          <w:r>
            <w:rPr>
              <w:rStyle w:val="126"/>
              <w:rFonts w:ascii="Times New Roman" w:hAnsi="Times New Roman"/>
              <w:vanish w:val="0"/>
              <w:sz w:val="22"/>
              <w:szCs w:val="22"/>
            </w:rPr>
            <w:t>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COOPERATIVA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1"/>
            <w:tabs>
              <w:tab w:val="left" w:pos="660"/>
              <w:tab w:val="right" w:leader="dot" w:pos="8921"/>
            </w:tabs>
          </w:pPr>
          <w:r>
            <w:fldChar w:fldCharType="begin"/>
          </w:r>
          <w:r>
            <w:instrText xml:space="preserve"> HYPERLINK \l "_Toc149517435" \h </w:instrText>
          </w:r>
          <w:r>
            <w:fldChar w:fldCharType="separate"/>
          </w:r>
          <w:r>
            <w:rPr>
              <w:rStyle w:val="126"/>
              <w:rFonts w:ascii="Times New Roman" w:hAnsi="Times New Roman"/>
              <w:vanish w:val="0"/>
              <w:sz w:val="22"/>
              <w:szCs w:val="22"/>
            </w:rPr>
            <w:t>10.</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IMPUGNAÇÃO E ESCLARECIMENTOS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1"/>
            <w:tabs>
              <w:tab w:val="left" w:pos="660"/>
              <w:tab w:val="right" w:leader="dot" w:pos="8921"/>
            </w:tabs>
          </w:pPr>
          <w:r>
            <w:fldChar w:fldCharType="begin"/>
          </w:r>
          <w:r>
            <w:instrText xml:space="preserve"> HYPERLINK \l "_Toc149517436" \h </w:instrText>
          </w:r>
          <w:r>
            <w:fldChar w:fldCharType="separate"/>
          </w:r>
          <w:r>
            <w:rPr>
              <w:rStyle w:val="126"/>
              <w:rFonts w:ascii="Times New Roman" w:hAnsi="Times New Roman"/>
              <w:vanish w:val="0"/>
              <w:sz w:val="22"/>
              <w:szCs w:val="22"/>
            </w:rPr>
            <w:t>11.</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CREDENCIAMENTO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8</w:t>
          </w:r>
        </w:p>
        <w:p>
          <w:pPr>
            <w:pStyle w:val="41"/>
            <w:tabs>
              <w:tab w:val="left" w:pos="660"/>
              <w:tab w:val="right" w:leader="dot" w:pos="8921"/>
            </w:tabs>
          </w:pPr>
          <w:r>
            <w:fldChar w:fldCharType="begin"/>
          </w:r>
          <w:r>
            <w:instrText xml:space="preserve"> HYPERLINK \l "_Toc149517437" \h </w:instrText>
          </w:r>
          <w:r>
            <w:fldChar w:fldCharType="separate"/>
          </w:r>
          <w:r>
            <w:rPr>
              <w:rStyle w:val="126"/>
              <w:rFonts w:ascii="Times New Roman" w:hAnsi="Times New Roman"/>
              <w:vanish w:val="0"/>
              <w:sz w:val="22"/>
              <w:szCs w:val="22"/>
            </w:rPr>
            <w:t>12.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CADASTRAMENTO DA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9</w:t>
          </w:r>
        </w:p>
        <w:p>
          <w:pPr>
            <w:pStyle w:val="41"/>
            <w:tabs>
              <w:tab w:val="left" w:pos="660"/>
              <w:tab w:val="right" w:leader="dot" w:pos="8921"/>
            </w:tabs>
          </w:pPr>
          <w:r>
            <w:fldChar w:fldCharType="begin"/>
          </w:r>
          <w:r>
            <w:instrText xml:space="preserve"> HYPERLINK \l "_Toc149517438" \h </w:instrText>
          </w:r>
          <w:r>
            <w:fldChar w:fldCharType="separate"/>
          </w:r>
          <w:r>
            <w:rPr>
              <w:rStyle w:val="126"/>
              <w:rFonts w:ascii="Times New Roman" w:hAnsi="Times New Roman"/>
              <w:vanish w:val="0"/>
              <w:sz w:val="22"/>
              <w:szCs w:val="22"/>
            </w:rPr>
            <w:t>13.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CADASTRAMENTO DOS DOCUMENTOS DE HABILITAÇÃO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10</w:t>
          </w:r>
        </w:p>
        <w:p>
          <w:pPr>
            <w:pStyle w:val="41"/>
            <w:tabs>
              <w:tab w:val="left" w:pos="660"/>
              <w:tab w:val="right" w:leader="dot" w:pos="8921"/>
            </w:tabs>
          </w:pPr>
          <w:r>
            <w:fldChar w:fldCharType="begin"/>
          </w:r>
          <w:r>
            <w:instrText xml:space="preserve"> HYPERLINK \l "_Toc149517439" \h </w:instrText>
          </w:r>
          <w:r>
            <w:fldChar w:fldCharType="separate"/>
          </w:r>
          <w:r>
            <w:rPr>
              <w:rStyle w:val="126"/>
              <w:rFonts w:ascii="Times New Roman" w:hAnsi="Times New Roman"/>
              <w:vanish w:val="0"/>
              <w:sz w:val="22"/>
              <w:szCs w:val="22"/>
            </w:rPr>
            <w:t>15.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FORMULAÇÃO DE LANCES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10</w:t>
          </w:r>
        </w:p>
        <w:p>
          <w:pPr>
            <w:pStyle w:val="41"/>
            <w:tabs>
              <w:tab w:val="left" w:pos="660"/>
              <w:tab w:val="right" w:leader="dot" w:pos="8921"/>
            </w:tabs>
          </w:pPr>
          <w:r>
            <w:fldChar w:fldCharType="begin"/>
          </w:r>
          <w:r>
            <w:instrText xml:space="preserve"> HYPERLINK \l "_Toc149517440" \h </w:instrText>
          </w:r>
          <w:r>
            <w:fldChar w:fldCharType="separate"/>
          </w:r>
          <w:r>
            <w:rPr>
              <w:rStyle w:val="126"/>
              <w:rFonts w:ascii="Times New Roman" w:hAnsi="Times New Roman"/>
              <w:vanish w:val="0"/>
              <w:sz w:val="22"/>
              <w:szCs w:val="22"/>
            </w:rPr>
            <w:t>16.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DESCONEXÃO DO(A) PREGOEIRO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w:t>
          </w:r>
        </w:p>
        <w:p>
          <w:pPr>
            <w:pStyle w:val="41"/>
            <w:tabs>
              <w:tab w:val="left" w:pos="660"/>
              <w:tab w:val="right" w:leader="dot" w:pos="8921"/>
            </w:tabs>
          </w:pPr>
          <w:r>
            <w:fldChar w:fldCharType="begin"/>
          </w:r>
          <w:r>
            <w:instrText xml:space="preserve"> HYPERLINK \l "_Toc149517441" \h </w:instrText>
          </w:r>
          <w:r>
            <w:fldChar w:fldCharType="separate"/>
          </w:r>
          <w:r>
            <w:rPr>
              <w:rStyle w:val="126"/>
              <w:rFonts w:ascii="Times New Roman" w:hAnsi="Times New Roman"/>
              <w:vanish w:val="0"/>
              <w:sz w:val="22"/>
              <w:szCs w:val="22"/>
            </w:rPr>
            <w:t>17.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BENEFÍCIOS ÀS MICROEMPRESAS E EMPRESAS DE PEQUENO PORTE</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w:t>
          </w:r>
        </w:p>
        <w:p>
          <w:pPr>
            <w:pStyle w:val="41"/>
            <w:tabs>
              <w:tab w:val="left" w:pos="660"/>
              <w:tab w:val="right" w:leader="dot" w:pos="8921"/>
            </w:tabs>
          </w:pPr>
          <w:r>
            <w:fldChar w:fldCharType="begin"/>
          </w:r>
          <w:r>
            <w:instrText xml:space="preserve"> HYPERLINK \l "_Toc149517442" \h </w:instrText>
          </w:r>
          <w:r>
            <w:fldChar w:fldCharType="separate"/>
          </w:r>
          <w:r>
            <w:rPr>
              <w:rStyle w:val="126"/>
              <w:rFonts w:ascii="Times New Roman" w:hAnsi="Times New Roman"/>
              <w:vanish w:val="0"/>
              <w:sz w:val="22"/>
              <w:szCs w:val="22"/>
            </w:rPr>
            <w:t>18.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EMPATE FICTO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13</w:t>
          </w:r>
        </w:p>
        <w:p>
          <w:pPr>
            <w:pStyle w:val="41"/>
            <w:tabs>
              <w:tab w:val="left" w:pos="660"/>
              <w:tab w:val="right" w:leader="dot" w:pos="8921"/>
            </w:tabs>
          </w:pPr>
          <w:r>
            <w:fldChar w:fldCharType="begin"/>
          </w:r>
          <w:r>
            <w:instrText xml:space="preserve"> HYPERLINK \l "_Toc149517443" \h </w:instrText>
          </w:r>
          <w:r>
            <w:fldChar w:fldCharType="separate"/>
          </w:r>
          <w:r>
            <w:rPr>
              <w:rStyle w:val="126"/>
              <w:rFonts w:ascii="Times New Roman" w:hAnsi="Times New Roman"/>
              <w:vanish w:val="0"/>
              <w:sz w:val="22"/>
              <w:szCs w:val="22"/>
            </w:rPr>
            <w:t>19.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EMPATE REAL</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14</w:t>
          </w:r>
        </w:p>
        <w:p>
          <w:pPr>
            <w:pStyle w:val="41"/>
            <w:tabs>
              <w:tab w:val="left" w:pos="660"/>
              <w:tab w:val="right" w:leader="dot" w:pos="8921"/>
            </w:tabs>
          </w:pPr>
          <w:r>
            <w:fldChar w:fldCharType="begin"/>
          </w:r>
          <w:r>
            <w:instrText xml:space="preserve"> HYPERLINK \l "_Toc149517444" \h </w:instrText>
          </w:r>
          <w:r>
            <w:fldChar w:fldCharType="separate"/>
          </w:r>
          <w:r>
            <w:rPr>
              <w:rStyle w:val="126"/>
              <w:rFonts w:ascii="Times New Roman" w:hAnsi="Times New Roman"/>
              <w:vanish w:val="0"/>
              <w:sz w:val="22"/>
              <w:szCs w:val="22"/>
            </w:rPr>
            <w:t>22.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DESCLASSIFICAÇÃO DE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14</w:t>
          </w:r>
        </w:p>
        <w:p>
          <w:pPr>
            <w:pStyle w:val="41"/>
            <w:tabs>
              <w:tab w:val="left" w:pos="660"/>
              <w:tab w:val="right" w:leader="dot" w:pos="8921"/>
            </w:tabs>
          </w:pPr>
          <w:r>
            <w:fldChar w:fldCharType="begin"/>
          </w:r>
          <w:r>
            <w:instrText xml:space="preserve"> HYPERLINK \l "_Toc149517445" \h </w:instrText>
          </w:r>
          <w:r>
            <w:fldChar w:fldCharType="separate"/>
          </w:r>
          <w:r>
            <w:rPr>
              <w:rStyle w:val="126"/>
              <w:rFonts w:ascii="Times New Roman" w:hAnsi="Times New Roman"/>
              <w:vanish w:val="0"/>
              <w:sz w:val="22"/>
              <w:szCs w:val="22"/>
            </w:rPr>
            <w:t>23.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INEXEQUIBILIDADE DE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15</w:t>
          </w:r>
        </w:p>
        <w:p>
          <w:pPr>
            <w:pStyle w:val="41"/>
            <w:tabs>
              <w:tab w:val="left" w:pos="660"/>
              <w:tab w:val="right" w:leader="dot" w:pos="8921"/>
            </w:tabs>
          </w:pPr>
          <w:r>
            <w:fldChar w:fldCharType="begin"/>
          </w:r>
          <w:r>
            <w:instrText xml:space="preserve"> HYPERLINK \l "_Toc149517446" \h </w:instrText>
          </w:r>
          <w:r>
            <w:fldChar w:fldCharType="separate"/>
          </w:r>
          <w:r>
            <w:rPr>
              <w:rStyle w:val="126"/>
              <w:rFonts w:ascii="Times New Roman" w:hAnsi="Times New Roman"/>
              <w:vanish w:val="0"/>
              <w:sz w:val="22"/>
              <w:szCs w:val="22"/>
            </w:rPr>
            <w:t>24.</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PROPOSTA CLASSIFICADA EM PRIMEIRO LUGAR</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16</w:t>
          </w:r>
        </w:p>
        <w:p>
          <w:pPr>
            <w:pStyle w:val="41"/>
            <w:tabs>
              <w:tab w:val="left" w:pos="660"/>
              <w:tab w:val="right" w:leader="dot" w:pos="8921"/>
            </w:tabs>
          </w:pPr>
          <w:r>
            <w:fldChar w:fldCharType="begin"/>
          </w:r>
          <w:r>
            <w:instrText xml:space="preserve"> HYPERLINK \l "_Toc149517447" \h </w:instrText>
          </w:r>
          <w:r>
            <w:fldChar w:fldCharType="separate"/>
          </w:r>
          <w:r>
            <w:rPr>
              <w:rStyle w:val="126"/>
              <w:rFonts w:ascii="Times New Roman" w:hAnsi="Times New Roman"/>
              <w:vanish w:val="0"/>
              <w:sz w:val="22"/>
              <w:szCs w:val="22"/>
            </w:rPr>
            <w:t>25.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ACEITABILIDADE DA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1</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1"/>
            <w:tabs>
              <w:tab w:val="left" w:pos="660"/>
              <w:tab w:val="right" w:leader="dot" w:pos="8921"/>
            </w:tabs>
          </w:pPr>
          <w:r>
            <w:fldChar w:fldCharType="begin"/>
          </w:r>
          <w:r>
            <w:instrText xml:space="preserve"> HYPERLINK \l "_Toc149517448" \h </w:instrText>
          </w:r>
          <w:r>
            <w:fldChar w:fldCharType="separate"/>
          </w:r>
          <w:r>
            <w:rPr>
              <w:rStyle w:val="126"/>
              <w:rFonts w:ascii="Times New Roman" w:hAnsi="Times New Roman"/>
              <w:vanish w:val="0"/>
              <w:sz w:val="22"/>
              <w:szCs w:val="22"/>
            </w:rPr>
            <w:t>26.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HABILITAÇÃO DA LICITANTE CLASSIFICADA EM PRIMEIRO LUGAR</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18</w:t>
          </w:r>
        </w:p>
        <w:p>
          <w:pPr>
            <w:pStyle w:val="41"/>
            <w:tabs>
              <w:tab w:val="left" w:pos="660"/>
              <w:tab w:val="right" w:leader="dot" w:pos="8921"/>
            </w:tabs>
          </w:pPr>
          <w:r>
            <w:fldChar w:fldCharType="begin"/>
          </w:r>
          <w:r>
            <w:instrText xml:space="preserve"> HYPERLINK \l "_Toc149517449" \h </w:instrText>
          </w:r>
          <w:r>
            <w:fldChar w:fldCharType="separate"/>
          </w:r>
          <w:r>
            <w:rPr>
              <w:rStyle w:val="126"/>
              <w:rFonts w:ascii="Times New Roman" w:hAnsi="Times New Roman"/>
              <w:vanish w:val="0"/>
              <w:sz w:val="22"/>
              <w:szCs w:val="22"/>
            </w:rPr>
            <w:t>27.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HABILITAÇÃO JURÍDICA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0</w:t>
          </w:r>
        </w:p>
        <w:p>
          <w:pPr>
            <w:pStyle w:val="41"/>
            <w:tabs>
              <w:tab w:val="left" w:pos="660"/>
              <w:tab w:val="right" w:leader="dot" w:pos="8921"/>
            </w:tabs>
          </w:pPr>
          <w:r>
            <w:fldChar w:fldCharType="begin"/>
          </w:r>
          <w:r>
            <w:instrText xml:space="preserve"> HYPERLINK \l "_Toc149517450" \h </w:instrText>
          </w:r>
          <w:r>
            <w:fldChar w:fldCharType="separate"/>
          </w:r>
          <w:r>
            <w:rPr>
              <w:rStyle w:val="126"/>
              <w:rFonts w:ascii="Times New Roman" w:hAnsi="Times New Roman"/>
              <w:vanish w:val="0"/>
              <w:sz w:val="22"/>
              <w:szCs w:val="22"/>
            </w:rPr>
            <w:t>28.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QUALIFICAÇÃO TÉCNICO-PROFISSIONAL E TÉCNICO-OPERACIONAL</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21</w:t>
          </w:r>
        </w:p>
        <w:p>
          <w:pPr>
            <w:pStyle w:val="41"/>
            <w:tabs>
              <w:tab w:val="left" w:pos="660"/>
              <w:tab w:val="right" w:leader="dot" w:pos="8921"/>
            </w:tabs>
          </w:pPr>
          <w:r>
            <w:fldChar w:fldCharType="begin"/>
          </w:r>
          <w:r>
            <w:instrText xml:space="preserve"> HYPERLINK \l "_Toc149517451" \h </w:instrText>
          </w:r>
          <w:r>
            <w:fldChar w:fldCharType="separate"/>
          </w:r>
          <w:r>
            <w:rPr>
              <w:rStyle w:val="126"/>
              <w:rFonts w:ascii="Times New Roman" w:hAnsi="Times New Roman"/>
              <w:vanish w:val="0"/>
              <w:sz w:val="22"/>
              <w:szCs w:val="22"/>
            </w:rPr>
            <w:t>29.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REGULARIDADE FISCAL, SOCIAL E TRABALHISTA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1</w:t>
          </w:r>
        </w:p>
        <w:p>
          <w:pPr>
            <w:pStyle w:val="41"/>
            <w:tabs>
              <w:tab w:val="left" w:pos="660"/>
              <w:tab w:val="right" w:leader="dot" w:pos="8921"/>
            </w:tabs>
          </w:pPr>
          <w:r>
            <w:fldChar w:fldCharType="begin"/>
          </w:r>
          <w:r>
            <w:instrText xml:space="preserve"> HYPERLINK \l "_Toc149517452" \h </w:instrText>
          </w:r>
          <w:r>
            <w:fldChar w:fldCharType="separate"/>
          </w:r>
          <w:r>
            <w:rPr>
              <w:rStyle w:val="126"/>
              <w:rFonts w:ascii="Times New Roman" w:hAnsi="Times New Roman"/>
              <w:vanish w:val="0"/>
              <w:sz w:val="22"/>
              <w:szCs w:val="22"/>
            </w:rPr>
            <w:t>30.</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HABILITAÇÃO ECONÔMICO-FINANCEIRA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w:t>
          </w:r>
        </w:p>
        <w:p>
          <w:pPr>
            <w:pStyle w:val="41"/>
            <w:tabs>
              <w:tab w:val="left" w:pos="660"/>
              <w:tab w:val="right" w:leader="dot" w:pos="8921"/>
            </w:tabs>
          </w:pPr>
          <w:r>
            <w:fldChar w:fldCharType="begin"/>
          </w:r>
          <w:r>
            <w:instrText xml:space="preserve"> HYPERLINK \l "_Toc149517453" \h </w:instrText>
          </w:r>
          <w:r>
            <w:fldChar w:fldCharType="separate"/>
          </w:r>
          <w:r>
            <w:rPr>
              <w:rStyle w:val="126"/>
              <w:rFonts w:ascii="Times New Roman" w:hAnsi="Times New Roman"/>
              <w:vanish w:val="0"/>
              <w:sz w:val="22"/>
              <w:szCs w:val="22"/>
            </w:rPr>
            <w:t>31.</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OUTROS DOCUMENTOS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w:t>
          </w:r>
        </w:p>
        <w:p>
          <w:pPr>
            <w:pStyle w:val="41"/>
            <w:tabs>
              <w:tab w:val="left" w:pos="660"/>
              <w:tab w:val="right" w:leader="dot" w:pos="8921"/>
            </w:tabs>
          </w:pPr>
          <w:r>
            <w:fldChar w:fldCharType="begin"/>
          </w:r>
          <w:r>
            <w:instrText xml:space="preserve"> HYPERLINK \l "_Toc149517454" \h </w:instrText>
          </w:r>
          <w:r>
            <w:fldChar w:fldCharType="separate"/>
          </w:r>
          <w:r>
            <w:rPr>
              <w:rStyle w:val="126"/>
              <w:rFonts w:ascii="Times New Roman" w:hAnsi="Times New Roman"/>
              <w:vanish w:val="0"/>
              <w:sz w:val="22"/>
              <w:szCs w:val="22"/>
            </w:rPr>
            <w:t>32.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ENCAMINHAMENTO DA PROPOSTA VENCEDORA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3</w:t>
          </w:r>
        </w:p>
        <w:p>
          <w:pPr>
            <w:pStyle w:val="41"/>
            <w:tabs>
              <w:tab w:val="left" w:pos="660"/>
              <w:tab w:val="right" w:leader="dot" w:pos="8921"/>
            </w:tabs>
          </w:pPr>
          <w:r>
            <w:fldChar w:fldCharType="begin"/>
          </w:r>
          <w:r>
            <w:instrText xml:space="preserve"> HYPERLINK \l "_Toc149517455" \h </w:instrText>
          </w:r>
          <w:r>
            <w:fldChar w:fldCharType="separate"/>
          </w:r>
          <w:r>
            <w:rPr>
              <w:rStyle w:val="126"/>
              <w:rFonts w:ascii="Times New Roman" w:hAnsi="Times New Roman"/>
              <w:vanish w:val="0"/>
              <w:sz w:val="22"/>
              <w:szCs w:val="22"/>
            </w:rPr>
            <w:t>33.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RECURSO(S) ADMINISTRATIVO(S)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3</w:t>
          </w:r>
        </w:p>
        <w:p>
          <w:pPr>
            <w:pStyle w:val="41"/>
            <w:tabs>
              <w:tab w:val="left" w:pos="660"/>
              <w:tab w:val="right" w:leader="dot" w:pos="8921"/>
            </w:tabs>
          </w:pPr>
          <w:r>
            <w:fldChar w:fldCharType="begin"/>
          </w:r>
          <w:r>
            <w:instrText xml:space="preserve"> HYPERLINK \l "_Toc149517456" \h </w:instrText>
          </w:r>
          <w:r>
            <w:fldChar w:fldCharType="separate"/>
          </w:r>
          <w:r>
            <w:rPr>
              <w:rStyle w:val="126"/>
              <w:rFonts w:ascii="Times New Roman" w:hAnsi="Times New Roman"/>
              <w:vanish w:val="0"/>
              <w:sz w:val="22"/>
              <w:szCs w:val="22"/>
            </w:rPr>
            <w:t>34.</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REABERTURA DA SESSÃO PÚBLICA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w:t>
          </w:r>
        </w:p>
        <w:p>
          <w:pPr>
            <w:pStyle w:val="41"/>
            <w:tabs>
              <w:tab w:val="left" w:pos="660"/>
              <w:tab w:val="right" w:leader="dot" w:pos="8921"/>
            </w:tabs>
          </w:pPr>
          <w:r>
            <w:fldChar w:fldCharType="begin"/>
          </w:r>
          <w:r>
            <w:instrText xml:space="preserve"> HYPERLINK \l "_Toc149517457" \h </w:instrText>
          </w:r>
          <w:r>
            <w:fldChar w:fldCharType="separate"/>
          </w:r>
          <w:r>
            <w:rPr>
              <w:rStyle w:val="126"/>
              <w:rFonts w:ascii="Times New Roman" w:hAnsi="Times New Roman"/>
              <w:vanish w:val="0"/>
              <w:sz w:val="22"/>
              <w:szCs w:val="22"/>
            </w:rPr>
            <w:t>35.</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ENCERRAMENTO DA LICITAÇÃO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w:t>
          </w:r>
        </w:p>
        <w:p>
          <w:pPr>
            <w:pStyle w:val="41"/>
            <w:tabs>
              <w:tab w:val="left" w:pos="660"/>
              <w:tab w:val="right" w:leader="dot" w:pos="8921"/>
            </w:tabs>
          </w:pPr>
          <w:r>
            <w:fldChar w:fldCharType="begin"/>
          </w:r>
          <w:r>
            <w:instrText xml:space="preserve"> HYPERLINK \l "_Toc149517458" \h </w:instrText>
          </w:r>
          <w:r>
            <w:fldChar w:fldCharType="separate"/>
          </w:r>
          <w:r>
            <w:rPr>
              <w:rStyle w:val="126"/>
              <w:rFonts w:ascii="Times New Roman" w:hAnsi="Times New Roman"/>
              <w:vanish w:val="0"/>
              <w:sz w:val="22"/>
              <w:szCs w:val="22"/>
            </w:rPr>
            <w:t>36.</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REGISTRO DE PREÇOS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6</w:t>
          </w:r>
        </w:p>
        <w:p>
          <w:pPr>
            <w:pStyle w:val="41"/>
            <w:tabs>
              <w:tab w:val="left" w:pos="660"/>
              <w:tab w:val="right" w:leader="dot" w:pos="8921"/>
            </w:tabs>
          </w:pPr>
          <w:r>
            <w:fldChar w:fldCharType="begin"/>
          </w:r>
          <w:r>
            <w:instrText xml:space="preserve"> HYPERLINK \l "_Toc149517459" \h </w:instrText>
          </w:r>
          <w:r>
            <w:fldChar w:fldCharType="separate"/>
          </w:r>
          <w:r>
            <w:rPr>
              <w:rStyle w:val="126"/>
              <w:rFonts w:ascii="Times New Roman" w:hAnsi="Times New Roman"/>
              <w:vanish w:val="0"/>
              <w:sz w:val="22"/>
              <w:szCs w:val="22"/>
            </w:rPr>
            <w:t>37.</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FORMAÇÃO DO CADASTRO DE RESERVA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t>2</w:t>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7</w:t>
          </w:r>
        </w:p>
        <w:p>
          <w:pPr>
            <w:pStyle w:val="41"/>
            <w:tabs>
              <w:tab w:val="left" w:pos="660"/>
              <w:tab w:val="right" w:leader="dot" w:pos="8921"/>
            </w:tabs>
          </w:pPr>
          <w:r>
            <w:fldChar w:fldCharType="begin"/>
          </w:r>
          <w:r>
            <w:instrText xml:space="preserve"> HYPERLINK \l "_Toc149517460" \h </w:instrText>
          </w:r>
          <w:r>
            <w:fldChar w:fldCharType="separate"/>
          </w:r>
          <w:r>
            <w:rPr>
              <w:rStyle w:val="126"/>
              <w:rFonts w:ascii="Times New Roman" w:hAnsi="Times New Roman"/>
              <w:vanish w:val="0"/>
              <w:sz w:val="22"/>
              <w:szCs w:val="22"/>
            </w:rPr>
            <w:t>38.</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CONTRATAÇÃO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28</w:t>
          </w:r>
        </w:p>
        <w:p>
          <w:pPr>
            <w:pStyle w:val="41"/>
            <w:tabs>
              <w:tab w:val="left" w:pos="660"/>
              <w:tab w:val="right" w:leader="dot" w:pos="8921"/>
            </w:tabs>
          </w:pPr>
          <w:r>
            <w:fldChar w:fldCharType="begin"/>
          </w:r>
          <w:r>
            <w:instrText xml:space="preserve"> HYPERLINK \l "_Toc149517461" \h </w:instrText>
          </w:r>
          <w:r>
            <w:fldChar w:fldCharType="separate"/>
          </w:r>
          <w:r>
            <w:rPr>
              <w:rStyle w:val="126"/>
              <w:rFonts w:ascii="Times New Roman" w:hAnsi="Times New Roman"/>
              <w:vanish w:val="0"/>
              <w:sz w:val="22"/>
              <w:szCs w:val="22"/>
            </w:rPr>
            <w:t>39.</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SANÇÕES ADMINISTRATIVAS DE LICITAÇÃO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29</w:t>
          </w:r>
        </w:p>
        <w:p>
          <w:pPr>
            <w:pStyle w:val="41"/>
            <w:tabs>
              <w:tab w:val="left" w:pos="660"/>
              <w:tab w:val="right" w:leader="dot" w:pos="8921"/>
            </w:tabs>
          </w:pPr>
          <w:r>
            <w:fldChar w:fldCharType="begin"/>
          </w:r>
          <w:r>
            <w:instrText xml:space="preserve"> HYPERLINK \l "_Toc149517462" \h </w:instrText>
          </w:r>
          <w:r>
            <w:fldChar w:fldCharType="separate"/>
          </w:r>
          <w:r>
            <w:rPr>
              <w:rStyle w:val="126"/>
              <w:rFonts w:ascii="Times New Roman" w:hAnsi="Times New Roman"/>
              <w:vanish w:val="0"/>
              <w:sz w:val="22"/>
              <w:szCs w:val="22"/>
            </w:rPr>
            <w:t>40.</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PROTEÇÃO DOS DADOS NA LICITAÇÃO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29</w:t>
          </w:r>
        </w:p>
        <w:p>
          <w:pPr>
            <w:pStyle w:val="41"/>
            <w:tabs>
              <w:tab w:val="left" w:pos="660"/>
              <w:tab w:val="right" w:leader="dot" w:pos="8921"/>
            </w:tabs>
          </w:pPr>
          <w:r>
            <w:fldChar w:fldCharType="begin"/>
          </w:r>
          <w:r>
            <w:instrText xml:space="preserve"> HYPERLINK \l "_Toc149517463" \h </w:instrText>
          </w:r>
          <w:r>
            <w:fldChar w:fldCharType="separate"/>
          </w:r>
          <w:r>
            <w:rPr>
              <w:rStyle w:val="126"/>
              <w:rFonts w:ascii="Times New Roman" w:hAnsi="Times New Roman"/>
              <w:vanish w:val="0"/>
              <w:sz w:val="22"/>
              <w:szCs w:val="22"/>
            </w:rPr>
            <w:t>41.</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CRÉDITOS ORÇAMENTÁRIOS </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30</w:t>
          </w:r>
        </w:p>
        <w:p>
          <w:pPr>
            <w:pStyle w:val="41"/>
            <w:tabs>
              <w:tab w:val="left" w:pos="660"/>
              <w:tab w:val="right" w:leader="dot" w:pos="8921"/>
            </w:tabs>
          </w:pPr>
          <w:r>
            <w:fldChar w:fldCharType="begin"/>
          </w:r>
          <w:r>
            <w:instrText xml:space="preserve"> HYPERLINK \l "_Toc149517464" \h </w:instrText>
          </w:r>
          <w:r>
            <w:fldChar w:fldCharType="separate"/>
          </w:r>
          <w:r>
            <w:rPr>
              <w:rStyle w:val="126"/>
              <w:rFonts w:ascii="Times New Roman" w:hAnsi="Times New Roman"/>
              <w:vanish w:val="0"/>
              <w:sz w:val="22"/>
              <w:szCs w:val="22"/>
            </w:rPr>
            <w:t>42.</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DISPOSIÇÕES FINAIS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31</w:t>
          </w:r>
        </w:p>
        <w:p>
          <w:pPr>
            <w:pStyle w:val="41"/>
            <w:tabs>
              <w:tab w:val="left" w:pos="660"/>
              <w:tab w:val="right" w:leader="dot" w:pos="8921"/>
            </w:tabs>
          </w:pPr>
          <w:r>
            <w:fldChar w:fldCharType="begin"/>
          </w:r>
          <w:r>
            <w:instrText xml:space="preserve"> HYPERLINK \l "_Toc149517465" \h </w:instrText>
          </w:r>
          <w:r>
            <w:fldChar w:fldCharType="separate"/>
          </w:r>
          <w:r>
            <w:rPr>
              <w:rStyle w:val="126"/>
              <w:rFonts w:ascii="Times New Roman" w:hAnsi="Times New Roman"/>
              <w:vanish w:val="0"/>
              <w:sz w:val="22"/>
              <w:szCs w:val="22"/>
            </w:rPr>
            <w:t>43.</w:t>
          </w:r>
          <w:r>
            <w:rPr>
              <w:rStyle w:val="126"/>
              <w:rFonts w:ascii="Times New Roman" w:hAnsi="Times New Roman" w:cs="Times New Roman" w:eastAsiaTheme="minorEastAsia"/>
              <w:kern w:val="2"/>
              <w:sz w:val="22"/>
              <w:szCs w:val="22"/>
              <w:lang w:eastAsia="pt-BR"/>
              <w14:ligatures w14:val="standardContextual"/>
            </w:rPr>
            <w:tab/>
          </w:r>
          <w:r>
            <w:rPr>
              <w:rStyle w:val="126"/>
              <w:rFonts w:ascii="Times New Roman" w:hAnsi="Times New Roman"/>
              <w:sz w:val="22"/>
              <w:szCs w:val="22"/>
            </w:rPr>
            <w:t>FORO</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21</w:t>
          </w:r>
        </w:p>
        <w:p>
          <w:pPr>
            <w:pStyle w:val="41"/>
            <w:tabs>
              <w:tab w:val="right" w:leader="dot" w:pos="8921"/>
            </w:tabs>
          </w:pPr>
          <w:r>
            <w:fldChar w:fldCharType="begin"/>
          </w:r>
          <w:r>
            <w:instrText xml:space="preserve"> HYPERLINK \l "_Toc149517466" \h </w:instrText>
          </w:r>
          <w:r>
            <w:fldChar w:fldCharType="separate"/>
          </w:r>
          <w:r>
            <w:rPr>
              <w:rStyle w:val="126"/>
              <w:rFonts w:ascii="Times New Roman" w:hAnsi="Times New Roman"/>
              <w:vanish w:val="0"/>
              <w:sz w:val="22"/>
              <w:szCs w:val="22"/>
            </w:rPr>
            <w:t>ANEXO I - TERMO DE REFERÊNCIA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33</w:t>
          </w:r>
        </w:p>
        <w:p>
          <w:pPr>
            <w:pStyle w:val="41"/>
            <w:tabs>
              <w:tab w:val="right" w:leader="dot" w:pos="8921"/>
            </w:tabs>
          </w:pPr>
          <w:r>
            <w:fldChar w:fldCharType="begin"/>
          </w:r>
          <w:r>
            <w:instrText xml:space="preserve"> HYPERLINK \l "_Toc149517467" \h </w:instrText>
          </w:r>
          <w:r>
            <w:fldChar w:fldCharType="separate"/>
          </w:r>
          <w:r>
            <w:rPr>
              <w:rStyle w:val="126"/>
              <w:rFonts w:ascii="Times New Roman" w:hAnsi="Times New Roman"/>
              <w:vanish w:val="0"/>
              <w:sz w:val="22"/>
              <w:szCs w:val="22"/>
            </w:rPr>
            <w:t>ANEXO II - MODELO DE DECLARAÇÕES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56</w:t>
          </w:r>
        </w:p>
        <w:p>
          <w:pPr>
            <w:pStyle w:val="41"/>
            <w:tabs>
              <w:tab w:val="right" w:leader="dot" w:pos="8921"/>
            </w:tabs>
          </w:pPr>
          <w:r>
            <w:fldChar w:fldCharType="begin"/>
          </w:r>
          <w:r>
            <w:instrText xml:space="preserve"> HYPERLINK \l "_Toc149517468" \h </w:instrText>
          </w:r>
          <w:r>
            <w:fldChar w:fldCharType="separate"/>
          </w:r>
          <w:r>
            <w:rPr>
              <w:rStyle w:val="126"/>
              <w:rFonts w:ascii="Times New Roman" w:hAnsi="Times New Roman"/>
              <w:vanish w:val="0"/>
              <w:sz w:val="22"/>
              <w:szCs w:val="22"/>
            </w:rPr>
            <w:t>ANEXO III - MODELO DE PROPOSTA</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57</w:t>
          </w:r>
        </w:p>
        <w:p>
          <w:pPr>
            <w:pStyle w:val="41"/>
            <w:tabs>
              <w:tab w:val="right" w:leader="dot" w:pos="8921"/>
            </w:tabs>
          </w:pPr>
          <w:r>
            <w:fldChar w:fldCharType="begin"/>
          </w:r>
          <w:r>
            <w:instrText xml:space="preserve"> HYPERLINK \l "_Toc149517469" \h </w:instrText>
          </w:r>
          <w:r>
            <w:fldChar w:fldCharType="separate"/>
          </w:r>
          <w:r>
            <w:rPr>
              <w:rStyle w:val="126"/>
              <w:rFonts w:ascii="Times New Roman" w:hAnsi="Times New Roman"/>
              <w:vanish w:val="0"/>
              <w:sz w:val="22"/>
              <w:szCs w:val="22"/>
            </w:rPr>
            <w:t>ANEXO IV - MINUTA DA ATA DE REGISTRO DE PREÇOS</w:t>
          </w:r>
          <w:r>
            <w:rPr>
              <w:rStyle w:val="126"/>
              <w:rFonts w:ascii="Times New Roman" w:hAnsi="Times New Roman" w:cs="Times New Roman"/>
              <w:vanish w:val="0"/>
              <w:sz w:val="22"/>
              <w:szCs w:val="22"/>
            </w:rPr>
            <w:tab/>
          </w:r>
          <w:r>
            <w:rPr>
              <w:rStyle w:val="126"/>
              <w:rFonts w:ascii="Times New Roman" w:hAnsi="Times New Roman" w:cs="Times New Roman"/>
              <w:vanish w:val="0"/>
              <w:sz w:val="22"/>
              <w:szCs w:val="22"/>
            </w:rPr>
            <w:fldChar w:fldCharType="end"/>
          </w:r>
          <w:r>
            <w:rPr>
              <w:rFonts w:ascii="Times New Roman" w:hAnsi="Times New Roman" w:cs="Times New Roman"/>
              <w:vanish w:val="0"/>
              <w:sz w:val="22"/>
              <w:szCs w:val="22"/>
            </w:rPr>
            <w:t>58</w:t>
          </w:r>
        </w:p>
        <w:p>
          <w:pPr>
            <w:pStyle w:val="41"/>
            <w:tabs>
              <w:tab w:val="right" w:leader="dot" w:pos="8921"/>
            </w:tabs>
          </w:pPr>
          <w:r>
            <w:fldChar w:fldCharType="begin"/>
          </w:r>
          <w:r>
            <w:instrText xml:space="preserve"> HYPERLINK \l "_Toc149517470" \h </w:instrText>
          </w:r>
          <w:r>
            <w:fldChar w:fldCharType="separate"/>
          </w:r>
          <w:r>
            <w:rPr>
              <w:rStyle w:val="126"/>
              <w:rFonts w:ascii="Times New Roman" w:hAnsi="Times New Roman"/>
              <w:vanish w:val="0"/>
              <w:sz w:val="22"/>
              <w:szCs w:val="22"/>
            </w:rPr>
            <w:t>ANEXO V - MINUTA DO INSTRUMENTO DE CONTRATO</w:t>
          </w:r>
          <w:r>
            <w:fldChar w:fldCharType="begin"/>
          </w:r>
          <w:r>
            <w:instrText xml:space="preserve">PAGEREF _Toc149517470 \h</w:instrText>
          </w:r>
          <w:r>
            <w:fldChar w:fldCharType="separate"/>
          </w:r>
          <w:r>
            <w:t>68</w:t>
          </w:r>
          <w:r>
            <w:fldChar w:fldCharType="end"/>
          </w:r>
          <w:r>
            <w:fldChar w:fldCharType="end"/>
          </w:r>
          <w:r>
            <w:rPr>
              <w:rStyle w:val="126"/>
              <w:rFonts w:ascii="Times New Roman" w:hAnsi="Times New Roman" w:cs="Times New Roman"/>
              <w:vanish w:val="0"/>
              <w:sz w:val="22"/>
              <w:szCs w:val="22"/>
            </w:rPr>
            <w:fldChar w:fldCharType="end"/>
          </w:r>
        </w:p>
      </w:sdtContent>
    </w:sdt>
    <w:p>
      <w:pPr>
        <w:spacing w:before="0" w:after="0" w:line="240" w:lineRule="auto"/>
        <w:rPr>
          <w:rFonts w:ascii="Times New Roman" w:hAnsi="Times New Roman" w:cs="Times New Roman"/>
          <w:sz w:val="22"/>
          <w:szCs w:val="22"/>
        </w:rPr>
      </w:pPr>
    </w:p>
    <w:p>
      <w:pPr>
        <w:pStyle w:val="2"/>
        <w:spacing w:before="360" w:after="0"/>
      </w:pPr>
      <w:bookmarkStart w:id="0" w:name="_Toc149517427"/>
      <w:r>
        <w:rPr>
          <w:rStyle w:val="45"/>
          <w:sz w:val="22"/>
          <w:szCs w:val="22"/>
        </w:rPr>
        <w:t>PUBLICIDADE</w:t>
      </w:r>
      <w:bookmarkEnd w:id="0"/>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fldChar w:fldCharType="begin"/>
      </w:r>
      <w:r>
        <w:instrText xml:space="preserve"> HYPERLINK "https://pncp.gov.br/" \h </w:instrText>
      </w:r>
      <w:r>
        <w:fldChar w:fldCharType="separate"/>
      </w:r>
      <w:r>
        <w:rPr>
          <w:rStyle w:val="54"/>
          <w:sz w:val="22"/>
          <w:szCs w:val="22"/>
        </w:rPr>
        <w:t>https://pncp.gov.br/</w:t>
      </w:r>
      <w:r>
        <w:rPr>
          <w:rStyle w:val="54"/>
          <w:sz w:val="22"/>
          <w:szCs w:val="22"/>
        </w:rPr>
        <w:fldChar w:fldCharType="end"/>
      </w:r>
      <w:r>
        <w:rPr>
          <w:sz w:val="22"/>
          <w:szCs w:val="22"/>
        </w:rPr>
        <w:t xml:space="preserve">, nos termos fixados nos </w:t>
      </w:r>
      <w:r>
        <w:fldChar w:fldCharType="begin"/>
      </w:r>
      <w:r>
        <w:rPr>
          <w:rStyle w:val="54"/>
          <w:sz w:val="22"/>
          <w:szCs w:val="22"/>
        </w:rPr>
        <w:instrText xml:space="preserve"> HYPERLINK "https://www.planalto.gov.br/ccivil_03/_ato2019-2022/2021/lei/l14133.htm" \l "art54"</w:instrText>
      </w:r>
      <w:r>
        <w:rPr>
          <w:rStyle w:val="54"/>
          <w:sz w:val="22"/>
          <w:szCs w:val="22"/>
        </w:rPr>
        <w:fldChar w:fldCharType="separate"/>
      </w:r>
      <w:r>
        <w:rPr>
          <w:rStyle w:val="54"/>
          <w:sz w:val="22"/>
          <w:szCs w:val="22"/>
        </w:rPr>
        <w:t>art. 54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presente Edital também será publicado, em forma de AVISO, no </w:t>
      </w:r>
      <w:r>
        <w:fldChar w:fldCharType="begin"/>
      </w:r>
      <w:r>
        <w:instrText xml:space="preserve"> HYPERLINK "https://www.in.gov.br/servicos/diario-oficial-da-uniao" \h </w:instrText>
      </w:r>
      <w:r>
        <w:fldChar w:fldCharType="separate"/>
      </w:r>
      <w:r>
        <w:rPr>
          <w:rStyle w:val="54"/>
          <w:sz w:val="22"/>
          <w:szCs w:val="22"/>
        </w:rPr>
        <w:t>Diário Oficial</w:t>
      </w:r>
      <w:r>
        <w:rPr>
          <w:rStyle w:val="54"/>
          <w:sz w:val="22"/>
          <w:szCs w:val="22"/>
        </w:rPr>
        <w:fldChar w:fldCharType="end"/>
      </w:r>
      <w:r>
        <w:rPr>
          <w:sz w:val="22"/>
          <w:szCs w:val="22"/>
        </w:rPr>
        <w:t>, bem como em jornal diário de grande circulação (</w:t>
      </w:r>
      <w:r>
        <w:fldChar w:fldCharType="begin"/>
      </w:r>
      <w:r>
        <w:rPr>
          <w:rStyle w:val="54"/>
          <w:sz w:val="22"/>
          <w:szCs w:val="22"/>
        </w:rPr>
        <w:instrText xml:space="preserve"> HYPERLINK "https://www.planalto.gov.br/ccivil_03/_ato2019-2022/2021/lei/l14133.htm" \l "art54"</w:instrText>
      </w:r>
      <w:r>
        <w:rPr>
          <w:rStyle w:val="54"/>
          <w:sz w:val="22"/>
          <w:szCs w:val="22"/>
        </w:rPr>
        <w:fldChar w:fldCharType="separate"/>
      </w:r>
      <w:r>
        <w:rPr>
          <w:rStyle w:val="54"/>
          <w:sz w:val="22"/>
          <w:szCs w:val="22"/>
        </w:rPr>
        <w:t>art. 54, § 1º,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xml:space="preserve">, e no sítio internet da Câmara Municipal de Primavera do Leste - MT, disponível no endereço eletrônico: </w:t>
      </w:r>
      <w:r>
        <w:fldChar w:fldCharType="begin"/>
      </w:r>
      <w:r>
        <w:instrText xml:space="preserve"> HYPERLINK "https://www.primaveradoleste.mt.leg.br/" \h </w:instrText>
      </w:r>
      <w:r>
        <w:fldChar w:fldCharType="separate"/>
      </w:r>
      <w:r>
        <w:rPr>
          <w:rStyle w:val="54"/>
          <w:sz w:val="22"/>
          <w:szCs w:val="22"/>
        </w:rPr>
        <w:t>https://www.primaveradoleste.mt.leg.br/</w:t>
      </w:r>
      <w:r>
        <w:rPr>
          <w:rStyle w:val="54"/>
          <w:sz w:val="22"/>
          <w:szCs w:val="22"/>
        </w:rPr>
        <w:fldChar w:fldCharType="end"/>
      </w:r>
      <w:r>
        <w:rPr>
          <w:sz w:val="22"/>
          <w:szCs w:val="22"/>
        </w:rPr>
        <w:t>.</w:t>
      </w:r>
    </w:p>
    <w:p>
      <w:pPr>
        <w:pStyle w:val="2"/>
        <w:spacing w:before="360" w:after="0"/>
      </w:pPr>
      <w:bookmarkStart w:id="1" w:name="_Toc149517428"/>
      <w:r>
        <w:rPr>
          <w:rStyle w:val="45"/>
          <w:sz w:val="22"/>
          <w:szCs w:val="22"/>
        </w:rPr>
        <w:t>PLATAFORMA ELETRÔNICA</w:t>
      </w:r>
      <w:bookmarkEnd w:id="1"/>
    </w:p>
    <w:p>
      <w:pPr>
        <w:pStyle w:val="3"/>
        <w:numPr>
          <w:ilvl w:val="1"/>
          <w:numId w:val="1"/>
        </w:numPr>
        <w:tabs>
          <w:tab w:val="left" w:pos="1134"/>
        </w:tabs>
        <w:spacing w:before="120" w:beforeAutospacing="0" w:after="0" w:afterAutospacing="0"/>
        <w:ind w:left="0" w:firstLine="567"/>
        <w:jc w:val="both"/>
        <w:textAlignment w:val="baseline"/>
      </w:pPr>
      <w:r>
        <w:rPr>
          <w:sz w:val="22"/>
          <w:szCs w:val="22"/>
        </w:rPr>
        <w:t>O Pregão</w:t>
      </w:r>
      <w:r>
        <w:rPr>
          <w:rStyle w:val="45"/>
          <w:color w:val="000000"/>
          <w:sz w:val="22"/>
          <w:szCs w:val="22"/>
        </w:rPr>
        <w:t>, em sua forma eletrônica (</w:t>
      </w:r>
      <w:r>
        <w:fldChar w:fldCharType="begin"/>
      </w:r>
      <w:r>
        <w:rPr>
          <w:rStyle w:val="54"/>
          <w:sz w:val="22"/>
          <w:szCs w:val="22"/>
        </w:rPr>
        <w:instrText xml:space="preserve"> HYPERLINK "http://www.planalto.gov.br/ccivil_03/_ato2019-2022/2021/lei/L14133.htm" \l "art17"</w:instrText>
      </w:r>
      <w:r>
        <w:rPr>
          <w:rStyle w:val="54"/>
          <w:sz w:val="22"/>
          <w:szCs w:val="22"/>
        </w:rPr>
        <w:fldChar w:fldCharType="separate"/>
      </w:r>
      <w:r>
        <w:rPr>
          <w:rStyle w:val="54"/>
          <w:sz w:val="22"/>
          <w:szCs w:val="22"/>
        </w:rPr>
        <w:t>art. 17, § 2º, da Lei Federal nº 14.133, de 2021</w:t>
      </w:r>
      <w:r>
        <w:rPr>
          <w:rStyle w:val="54"/>
          <w:sz w:val="22"/>
          <w:szCs w:val="22"/>
        </w:rPr>
        <w:fldChar w:fldCharType="end"/>
      </w:r>
      <w:r>
        <w:rPr>
          <w:rStyle w:val="45"/>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w:t>
      </w:r>
    </w:p>
    <w:p>
      <w:pPr>
        <w:pStyle w:val="2"/>
        <w:spacing w:before="360" w:after="0"/>
      </w:pPr>
      <w:bookmarkStart w:id="2" w:name="_DATA_E_HORÁRIO"/>
      <w:bookmarkEnd w:id="2"/>
      <w:bookmarkStart w:id="3" w:name="_Toc149517429"/>
      <w:r>
        <w:rPr>
          <w:rStyle w:val="45"/>
          <w:sz w:val="22"/>
          <w:szCs w:val="22"/>
        </w:rPr>
        <w:t>DATA E HORÁRIO</w:t>
      </w:r>
      <w:bookmarkEnd w:id="3"/>
    </w:p>
    <w:p>
      <w:pPr>
        <w:pStyle w:val="3"/>
        <w:numPr>
          <w:ilvl w:val="1"/>
          <w:numId w:val="1"/>
        </w:numPr>
        <w:tabs>
          <w:tab w:val="left" w:pos="1134"/>
        </w:tabs>
        <w:spacing w:before="120" w:beforeAutospacing="0" w:after="0" w:afterAutospacing="0"/>
        <w:ind w:left="0" w:firstLine="567"/>
        <w:jc w:val="both"/>
        <w:textAlignment w:val="baseline"/>
      </w:pPr>
      <w:r>
        <w:rPr>
          <w:rFonts w:eastAsiaTheme="minorHAnsi" w:cstheme="minorBidi"/>
          <w:sz w:val="22"/>
          <w:szCs w:val="22"/>
          <w:shd w:val="clear" w:fill="auto"/>
        </w:rPr>
        <w:t>A(s) proposta(s) de preços e os documentos de habilitação deverão ser cadastrados no Portal Licitanet (</w:t>
      </w:r>
      <w:r>
        <w:fldChar w:fldCharType="begin"/>
      </w:r>
      <w:r>
        <w:instrText xml:space="preserve"> HYPERLINK "https://www.licitanet.com.br/" \h </w:instrText>
      </w:r>
      <w:r>
        <w:fldChar w:fldCharType="separate"/>
      </w:r>
      <w:r>
        <w:rPr>
          <w:rStyle w:val="54"/>
          <w:rFonts w:eastAsiaTheme="minorHAnsi" w:cstheme="minorBidi"/>
          <w:sz w:val="22"/>
          <w:szCs w:val="22"/>
          <w:shd w:val="clear" w:fill="auto"/>
        </w:rPr>
        <w:t>https://www.licitanet.com.br/</w:t>
      </w:r>
      <w:r>
        <w:rPr>
          <w:rStyle w:val="54"/>
          <w:rFonts w:eastAsiaTheme="minorHAnsi" w:cstheme="minorBidi"/>
          <w:sz w:val="22"/>
          <w:szCs w:val="22"/>
          <w:shd w:val="clear" w:fill="auto"/>
        </w:rPr>
        <w:fldChar w:fldCharType="end"/>
      </w:r>
      <w:r>
        <w:rPr>
          <w:rFonts w:eastAsiaTheme="minorHAnsi" w:cstheme="minorBidi"/>
          <w:sz w:val="22"/>
          <w:szCs w:val="22"/>
          <w:shd w:val="clear" w:fill="auto"/>
        </w:rPr>
        <w:t xml:space="preserve">) até às </w:t>
      </w:r>
      <w:r>
        <w:rPr>
          <w:rFonts w:eastAsiaTheme="minorHAnsi" w:cstheme="minorBidi"/>
          <w:b/>
          <w:bCs/>
          <w:sz w:val="22"/>
          <w:szCs w:val="22"/>
          <w:shd w:val="clear" w:fill="auto"/>
        </w:rPr>
        <w:t xml:space="preserve">09h00 horas (horário oficial de Brasília/DF) do dia </w:t>
      </w:r>
      <w:r>
        <w:rPr>
          <w:rFonts w:hint="default" w:eastAsiaTheme="minorHAnsi" w:cstheme="minorBidi"/>
          <w:b/>
          <w:bCs/>
          <w:sz w:val="22"/>
          <w:szCs w:val="22"/>
          <w:shd w:val="clear" w:fill="auto"/>
          <w:lang w:val="pt-BR"/>
        </w:rPr>
        <w:t>20</w:t>
      </w:r>
      <w:r>
        <w:rPr>
          <w:rFonts w:eastAsiaTheme="minorHAnsi" w:cstheme="minorBidi"/>
          <w:b/>
          <w:bCs/>
          <w:sz w:val="22"/>
          <w:szCs w:val="22"/>
          <w:shd w:val="clear" w:fill="auto"/>
        </w:rPr>
        <w:t xml:space="preserve"> de Março de 2024 (Terça-feira)</w:t>
      </w:r>
      <w:r>
        <w:rPr>
          <w:rFonts w:eastAsiaTheme="minorHAnsi" w:cstheme="minorBidi"/>
          <w:sz w:val="22"/>
          <w:szCs w:val="22"/>
          <w:shd w:val="clear" w:fill="auto"/>
        </w:rPr>
        <w:t>, quando se dará a abertura da sessão pública.</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3"/>
        <w:numPr>
          <w:ilvl w:val="0"/>
          <w:numId w:val="0"/>
        </w:numPr>
        <w:tabs>
          <w:tab w:val="left" w:pos="1134"/>
        </w:tabs>
        <w:spacing w:before="0" w:beforeAutospacing="0" w:after="0" w:afterAutospacing="0"/>
        <w:ind w:left="0" w:firstLine="0"/>
        <w:jc w:val="both"/>
        <w:textAlignment w:val="baseline"/>
      </w:pPr>
    </w:p>
    <w:p>
      <w:pPr>
        <w:pStyle w:val="2"/>
        <w:spacing w:before="360" w:after="0"/>
      </w:pPr>
      <w:bookmarkStart w:id="4" w:name="_Toc149517430"/>
      <w:r>
        <w:rPr>
          <w:rStyle w:val="45"/>
          <w:sz w:val="22"/>
          <w:szCs w:val="22"/>
        </w:rPr>
        <w:t>AGENTE DE CONTRAÇÃO</w:t>
      </w:r>
      <w:bookmarkEnd w:id="4"/>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Os trabalhos do certame licitatório serão conduzidos pelo  servidor </w:t>
      </w:r>
      <w:r>
        <w:rPr>
          <w:rStyle w:val="45"/>
          <w:b/>
          <w:bCs/>
          <w:color w:val="000000" w:themeColor="text1"/>
          <w:sz w:val="22"/>
          <w:szCs w:val="22"/>
          <w:shd w:val="clear" w:fill="auto"/>
        </w:rPr>
        <w:t>Wender de Souza Barros</w:t>
      </w:r>
      <w:r>
        <w:rPr>
          <w:b/>
          <w:bCs/>
          <w:sz w:val="22"/>
          <w:szCs w:val="22"/>
          <w:shd w:val="clear" w:fill="auto"/>
        </w:rPr>
        <w:t>,</w:t>
      </w:r>
      <w:r>
        <w:rPr>
          <w:sz w:val="22"/>
          <w:szCs w:val="22"/>
        </w:rPr>
        <w:t xml:space="preserve"> designado Pregoeiro (</w:t>
      </w:r>
      <w:r>
        <w:fldChar w:fldCharType="begin"/>
      </w:r>
      <w:r>
        <w:rPr>
          <w:rStyle w:val="54"/>
          <w:sz w:val="22"/>
          <w:szCs w:val="22"/>
        </w:rPr>
        <w:instrText xml:space="preserve"> HYPERLINK "https://www.planalto.gov.br/ccivil_03/_ato2019-2022/2021/lei/l14133.htm" \l "art8"</w:instrText>
      </w:r>
      <w:r>
        <w:rPr>
          <w:rStyle w:val="54"/>
          <w:sz w:val="22"/>
          <w:szCs w:val="22"/>
        </w:rPr>
        <w:fldChar w:fldCharType="separate"/>
      </w:r>
      <w:r>
        <w:rPr>
          <w:rStyle w:val="54"/>
          <w:sz w:val="22"/>
          <w:szCs w:val="22"/>
        </w:rPr>
        <w:t>art. 8º da Lei Federal nº 14.133, de 2021</w:t>
      </w:r>
      <w:r>
        <w:rPr>
          <w:rStyle w:val="54"/>
          <w:sz w:val="22"/>
          <w:szCs w:val="22"/>
        </w:rPr>
        <w:fldChar w:fldCharType="end"/>
      </w:r>
      <w:r>
        <w:rPr>
          <w:sz w:val="22"/>
          <w:szCs w:val="22"/>
        </w:rPr>
        <w:t>) por intermédio da Portaria nº 077 de 2024, e que nesta licitação será denominado(a) PREGOEIRO (</w:t>
      </w:r>
      <w:r>
        <w:fldChar w:fldCharType="begin"/>
      </w:r>
      <w:r>
        <w:rPr>
          <w:rStyle w:val="54"/>
          <w:sz w:val="22"/>
          <w:szCs w:val="22"/>
        </w:rPr>
        <w:instrText xml:space="preserve"> HYPERLINK "https://www.planalto.gov.br/ccivil_03/_ato2019-2022/2021/lei/l14133.htm" \l "art8"</w:instrText>
      </w:r>
      <w:r>
        <w:rPr>
          <w:rStyle w:val="54"/>
          <w:sz w:val="22"/>
          <w:szCs w:val="22"/>
        </w:rPr>
        <w:fldChar w:fldCharType="separate"/>
      </w:r>
      <w:r>
        <w:rPr>
          <w:rStyle w:val="54"/>
          <w:sz w:val="22"/>
          <w:szCs w:val="22"/>
        </w:rPr>
        <w:t>art. 8º, §5º,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O(A) Pregoeiro será auxiliada por equipe de ap</w:t>
      </w:r>
      <w:r>
        <w:rPr>
          <w:sz w:val="22"/>
          <w:szCs w:val="22"/>
          <w:shd w:val="clear" w:fill="auto"/>
        </w:rPr>
        <w:t>oio (</w:t>
      </w:r>
      <w:r>
        <w:fldChar w:fldCharType="begin"/>
      </w:r>
      <w:r>
        <w:rPr>
          <w:rStyle w:val="54"/>
          <w:sz w:val="22"/>
          <w:szCs w:val="22"/>
          <w:shd w:val="clear" w:fill="auto"/>
        </w:rPr>
        <w:instrText xml:space="preserve"> HYPERLINK "https://www.planalto.gov.br/ccivil_03/_ato2019-2022/2021/lei/l14133.htm" \l "art8"</w:instrText>
      </w:r>
      <w:r>
        <w:rPr>
          <w:rStyle w:val="54"/>
          <w:sz w:val="22"/>
          <w:szCs w:val="22"/>
          <w:shd w:val="clear" w:fill="auto"/>
        </w:rPr>
        <w:fldChar w:fldCharType="separate"/>
      </w:r>
      <w:r>
        <w:rPr>
          <w:rStyle w:val="54"/>
          <w:sz w:val="22"/>
          <w:szCs w:val="22"/>
          <w:shd w:val="clear" w:fill="auto"/>
        </w:rPr>
        <w:t>art. 8º, §1º, da Lei Federal nº 14.133, de 2021</w:t>
      </w:r>
      <w:r>
        <w:rPr>
          <w:rStyle w:val="54"/>
          <w:sz w:val="22"/>
          <w:szCs w:val="22"/>
          <w:shd w:val="clear" w:fill="auto"/>
        </w:rPr>
        <w:fldChar w:fldCharType="end"/>
      </w:r>
      <w:r>
        <w:rPr>
          <w:sz w:val="22"/>
          <w:szCs w:val="22"/>
          <w:shd w:val="clear" w:fill="auto"/>
        </w:rPr>
        <w:t xml:space="preserve">) designada pela Portaria nº 077 de 2024, </w:t>
      </w:r>
      <w:r>
        <w:rPr>
          <w:sz w:val="22"/>
          <w:szCs w:val="22"/>
        </w:rPr>
        <w:t>e responderá individualmente pelos atos que praticar.</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Em caso de impedimento na condução do certame licitatório, o Pregoeiro será substituído automaticamente por outro Pregoeiro designado pela Portaria nº 077, de 2024, seguindo a ordem de substituição definida na referida portaria.</w:t>
      </w:r>
    </w:p>
    <w:p>
      <w:pPr>
        <w:pStyle w:val="2"/>
        <w:spacing w:before="360" w:after="0"/>
      </w:pPr>
      <w:bookmarkStart w:id="5" w:name="_Toc149517431"/>
      <w:r>
        <w:rPr>
          <w:rStyle w:val="45"/>
          <w:sz w:val="22"/>
          <w:szCs w:val="22"/>
        </w:rPr>
        <w:t>OBJETO</w:t>
      </w:r>
      <w:bookmarkEnd w:id="5"/>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A presente licitação, por item, tem por objeto a </w:t>
      </w:r>
      <w:r>
        <w:rPr>
          <w:color w:val="000000"/>
          <w:sz w:val="22"/>
          <w:szCs w:val="22"/>
        </w:rPr>
        <w:t xml:space="preserve">contratação, pelo </w:t>
      </w:r>
      <w:r>
        <w:rPr>
          <w:sz w:val="22"/>
          <w:szCs w:val="22"/>
        </w:rPr>
        <w:t>Sistema de Registro de Preços,</w:t>
      </w:r>
      <w:r>
        <w:rPr>
          <w:color w:val="000000"/>
          <w:sz w:val="22"/>
          <w:szCs w:val="22"/>
        </w:rPr>
        <w:t xml:space="preserve"> de serviços de</w:t>
      </w:r>
      <w:r>
        <w:rPr>
          <w:color w:val="000000"/>
          <w:sz w:val="22"/>
          <w:szCs w:val="22"/>
          <w:shd w:val="clear" w:fill="auto"/>
        </w:rPr>
        <w:t xml:space="preserve"> </w:t>
      </w:r>
      <w:r>
        <w:rPr>
          <w:b/>
          <w:bCs/>
          <w:color w:val="000000"/>
          <w:kern w:val="0"/>
          <w:sz w:val="22"/>
          <w:szCs w:val="22"/>
          <w:shd w:val="clear" w:fill="auto"/>
          <w:lang w:val="pt-BR" w:bidi="ar-SA"/>
        </w:rPr>
        <w:t>Contratação de empresa especializada no Gerenciamento de Frotas e Combustível</w:t>
      </w:r>
      <w:r>
        <w:rPr>
          <w:rStyle w:val="45"/>
          <w:color w:val="000000"/>
          <w:sz w:val="22"/>
          <w:szCs w:val="22"/>
        </w:rPr>
        <w:t xml:space="preserve"> </w:t>
      </w:r>
      <w:r>
        <w:rPr>
          <w:rStyle w:val="45"/>
          <w:b/>
          <w:bCs/>
          <w:color w:val="000000"/>
          <w:sz w:val="22"/>
          <w:szCs w:val="22"/>
        </w:rPr>
        <w:t xml:space="preserve">por menor taxa de administração, </w:t>
      </w:r>
      <w:r>
        <w:rPr>
          <w:rStyle w:val="45"/>
          <w:color w:val="000000"/>
          <w:sz w:val="22"/>
          <w:szCs w:val="22"/>
        </w:rPr>
        <w:t>conforme especificações, condições, quantidades e prazos constantes do</w:t>
      </w:r>
      <w:r>
        <w:rPr>
          <w:rStyle w:val="45"/>
          <w:b/>
          <w:bCs/>
          <w:color w:val="000000"/>
          <w:sz w:val="22"/>
          <w:szCs w:val="22"/>
        </w:rPr>
        <w:t xml:space="preserve"> </w:t>
      </w:r>
      <w:r>
        <w:fldChar w:fldCharType="begin"/>
      </w:r>
      <w:r>
        <w:instrText xml:space="preserve"> HYPERLINK \l "_ANEXO_I_-_1" \h </w:instrText>
      </w:r>
      <w:r>
        <w:fldChar w:fldCharType="separate"/>
      </w:r>
      <w:r>
        <w:rPr>
          <w:rStyle w:val="54"/>
          <w:b/>
          <w:bCs/>
          <w:sz w:val="22"/>
          <w:szCs w:val="22"/>
        </w:rPr>
        <w:t>Termo de Referência - Anexo I deste Edital</w:t>
      </w:r>
      <w:r>
        <w:rPr>
          <w:rStyle w:val="54"/>
          <w:b/>
          <w:bCs/>
          <w:sz w:val="22"/>
          <w:szCs w:val="22"/>
        </w:rPr>
        <w:fldChar w:fldCharType="end"/>
      </w:r>
      <w:r>
        <w:rPr>
          <w:rStyle w:val="45"/>
          <w:b/>
          <w:bCs/>
          <w:color w:val="000000"/>
          <w:sz w:val="22"/>
          <w:szCs w:val="22"/>
        </w:rPr>
        <w:t>.</w:t>
      </w:r>
    </w:p>
    <w:p>
      <w:pPr>
        <w:pStyle w:val="3"/>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rStyle w:val="45"/>
          <w:b/>
          <w:bCs/>
          <w:sz w:val="22"/>
          <w:szCs w:val="22"/>
        </w:rPr>
        <w:t>Objeto da contratação:</w:t>
      </w:r>
      <w:r>
        <w:rPr>
          <w:rStyle w:val="45"/>
          <w:sz w:val="22"/>
          <w:szCs w:val="22"/>
        </w:rPr>
        <w:t xml:space="preserve"> Registro de preços para futura e eventual contratação de empresa para a prestação de serviços de administração e gerenciamento informatizado para fornecimento de combustíveis e lubrificantes, bem como serviços de manutenção preventiva e corretiva de veículos como o fornecimento de peças acessórios multimarcas, através de redes de estabelecimentos credenciados pela contratada, com a implantação e operação de sistema informatizado e integrado para gestão da frota, com tecnologia de cartão magnético com chip (tipo smart) ou cartão com tarja magnética, valor estimado do combustível baseado no preço médio do combustível divulgado pela Agência Nacional de Petróleo - ANP - RONDONÓPOLIS, para atendimento à frota pertencente a Câmara Municipal de Primavera do Leste/ MT.</w:t>
      </w:r>
    </w:p>
    <w:tbl>
      <w:tblPr>
        <w:tblStyle w:val="9"/>
        <w:tblW w:w="9075" w:type="dxa"/>
        <w:tblInd w:w="107" w:type="dxa"/>
        <w:tblLayout w:type="fixed"/>
        <w:tblCellMar>
          <w:top w:w="0" w:type="dxa"/>
          <w:left w:w="70" w:type="dxa"/>
          <w:bottom w:w="0" w:type="dxa"/>
          <w:right w:w="70" w:type="dxa"/>
        </w:tblCellMar>
      </w:tblPr>
      <w:tblGrid>
        <w:gridCol w:w="888"/>
        <w:gridCol w:w="4025"/>
        <w:gridCol w:w="962"/>
        <w:gridCol w:w="1649"/>
        <w:gridCol w:w="1551"/>
      </w:tblGrid>
      <w:tr>
        <w:tblPrEx>
          <w:tblCellMar>
            <w:top w:w="0" w:type="dxa"/>
            <w:left w:w="70" w:type="dxa"/>
            <w:bottom w:w="0" w:type="dxa"/>
            <w:right w:w="70" w:type="dxa"/>
          </w:tblCellMar>
        </w:tblPrEx>
        <w:trPr>
          <w:trHeight w:val="495" w:hRule="atLeast"/>
        </w:trPr>
        <w:tc>
          <w:tcPr>
            <w:tcW w:w="888" w:type="dxa"/>
            <w:tcBorders>
              <w:top w:val="single" w:color="000000" w:sz="8" w:space="0"/>
              <w:left w:val="single" w:color="000000" w:sz="8" w:space="0"/>
              <w:bottom w:val="single" w:color="000000" w:sz="8" w:space="0"/>
            </w:tcBorders>
            <w:shd w:val="clear" w:color="auto" w:fill="B2B2B2"/>
            <w:vAlign w:val="center"/>
          </w:tcPr>
          <w:p>
            <w:pPr>
              <w:widowControl w:val="0"/>
              <w:spacing w:before="0" w:after="160" w:line="276" w:lineRule="auto"/>
              <w:jc w:val="left"/>
              <w:rPr>
                <w:rFonts w:ascii="Times New Roman" w:hAnsi="Times New Roman" w:cs="Arial"/>
                <w:b/>
                <w:bCs/>
                <w:sz w:val="16"/>
                <w:szCs w:val="16"/>
              </w:rPr>
            </w:pPr>
            <w:bookmarkStart w:id="6" w:name="RANGE!B3%252525252525252525252525253AH13"/>
            <w:r>
              <w:rPr>
                <w:rFonts w:ascii="Times New Roman" w:hAnsi="Times New Roman" w:cs="Arial"/>
                <w:b/>
                <w:bCs/>
                <w:sz w:val="16"/>
                <w:szCs w:val="16"/>
              </w:rPr>
              <w:t>I</w:t>
            </w:r>
            <w:bookmarkEnd w:id="6"/>
            <w:r>
              <w:rPr>
                <w:rFonts w:ascii="Times New Roman" w:hAnsi="Times New Roman" w:cs="Arial"/>
                <w:b/>
                <w:bCs/>
                <w:sz w:val="16"/>
                <w:szCs w:val="16"/>
              </w:rPr>
              <w:t>TEM</w:t>
            </w:r>
          </w:p>
        </w:tc>
        <w:tc>
          <w:tcPr>
            <w:tcW w:w="4025" w:type="dxa"/>
            <w:tcBorders>
              <w:top w:val="single" w:color="000000" w:sz="8" w:space="0"/>
              <w:left w:val="single" w:color="000000" w:sz="8" w:space="0"/>
              <w:bottom w:val="single" w:color="000000" w:sz="8" w:space="0"/>
              <w:right w:val="single" w:color="000000" w:sz="8" w:space="0"/>
            </w:tcBorders>
            <w:shd w:val="clear" w:color="auto" w:fill="B2B2B2"/>
            <w:vAlign w:val="center"/>
          </w:tcPr>
          <w:p>
            <w:pPr>
              <w:widowControl w:val="0"/>
              <w:spacing w:before="0" w:after="160" w:line="276" w:lineRule="auto"/>
              <w:jc w:val="left"/>
              <w:rPr>
                <w:rFonts w:ascii="Times New Roman" w:hAnsi="Times New Roman"/>
                <w:b/>
                <w:bCs/>
                <w:sz w:val="16"/>
                <w:szCs w:val="16"/>
              </w:rPr>
            </w:pPr>
            <w:r>
              <w:rPr>
                <w:rFonts w:ascii="Times New Roman" w:hAnsi="Times New Roman" w:cs="Arial"/>
                <w:b/>
                <w:bCs/>
                <w:sz w:val="16"/>
                <w:szCs w:val="16"/>
              </w:rPr>
              <w:t>D</w:t>
            </w:r>
            <w:r>
              <w:rPr>
                <w:rFonts w:ascii="Times New Roman" w:hAnsi="Times New Roman" w:cs="Arial"/>
                <w:b/>
                <w:bCs/>
                <w:sz w:val="16"/>
                <w:szCs w:val="16"/>
                <w:lang w:val="en-US"/>
              </w:rPr>
              <w:t>I</w:t>
            </w:r>
            <w:r>
              <w:rPr>
                <w:rFonts w:ascii="Times New Roman" w:hAnsi="Times New Roman" w:cs="Arial"/>
                <w:b/>
                <w:bCs/>
                <w:sz w:val="16"/>
                <w:szCs w:val="16"/>
              </w:rPr>
              <w:t>SCRIMINAÇÃO</w:t>
            </w:r>
          </w:p>
        </w:tc>
        <w:tc>
          <w:tcPr>
            <w:tcW w:w="962" w:type="dxa"/>
            <w:tcBorders>
              <w:top w:val="single" w:color="000000" w:sz="8" w:space="0"/>
              <w:bottom w:val="single" w:color="000000" w:sz="8" w:space="0"/>
            </w:tcBorders>
            <w:shd w:val="clear" w:color="auto" w:fill="B2B2B2"/>
            <w:vAlign w:val="center"/>
          </w:tcPr>
          <w:p>
            <w:pPr>
              <w:widowControl w:val="0"/>
              <w:spacing w:before="0" w:after="160" w:line="276" w:lineRule="auto"/>
              <w:jc w:val="left"/>
              <w:rPr>
                <w:rFonts w:ascii="Times New Roman" w:hAnsi="Times New Roman" w:cs="Arial"/>
                <w:b/>
                <w:bCs/>
                <w:sz w:val="16"/>
                <w:szCs w:val="16"/>
              </w:rPr>
            </w:pPr>
            <w:r>
              <w:rPr>
                <w:rFonts w:ascii="Times New Roman" w:hAnsi="Times New Roman" w:cs="Arial"/>
                <w:b/>
                <w:bCs/>
                <w:sz w:val="16"/>
                <w:szCs w:val="16"/>
              </w:rPr>
              <w:t>UND</w:t>
            </w:r>
          </w:p>
        </w:tc>
        <w:tc>
          <w:tcPr>
            <w:tcW w:w="1649" w:type="dxa"/>
            <w:tcBorders>
              <w:top w:val="single" w:color="000000" w:sz="8" w:space="0"/>
              <w:left w:val="single" w:color="000000" w:sz="8" w:space="0"/>
              <w:bottom w:val="single" w:color="000000" w:sz="8" w:space="0"/>
            </w:tcBorders>
            <w:shd w:val="clear" w:color="auto" w:fill="B2B2B2"/>
            <w:vAlign w:val="center"/>
          </w:tcPr>
          <w:p>
            <w:pPr>
              <w:widowControl w:val="0"/>
              <w:spacing w:before="0" w:after="160" w:line="276" w:lineRule="auto"/>
              <w:jc w:val="left"/>
              <w:rPr>
                <w:rFonts w:ascii="Times New Roman" w:hAnsi="Times New Roman" w:cs="Arial"/>
                <w:b/>
                <w:bCs/>
                <w:sz w:val="16"/>
                <w:szCs w:val="16"/>
                <w:lang w:val="pt-BR"/>
              </w:rPr>
            </w:pPr>
            <w:r>
              <w:rPr>
                <w:rFonts w:ascii="Times New Roman" w:hAnsi="Times New Roman" w:cs="Arial"/>
                <w:b/>
                <w:bCs/>
                <w:sz w:val="16"/>
                <w:szCs w:val="16"/>
                <w:lang w:val="pt-BR"/>
              </w:rPr>
              <w:t>MÉDIA DE TAXA DE ADMINISTRAÇÃO</w:t>
            </w:r>
          </w:p>
        </w:tc>
        <w:tc>
          <w:tcPr>
            <w:tcW w:w="1551" w:type="dxa"/>
            <w:tcBorders>
              <w:top w:val="single" w:color="000000" w:sz="8" w:space="0"/>
              <w:left w:val="single" w:color="000000" w:sz="8" w:space="0"/>
              <w:bottom w:val="single" w:color="000000" w:sz="8" w:space="0"/>
              <w:right w:val="single" w:color="000000" w:sz="8" w:space="0"/>
            </w:tcBorders>
            <w:shd w:val="clear" w:color="auto" w:fill="B2B2B2"/>
            <w:vAlign w:val="center"/>
          </w:tcPr>
          <w:p>
            <w:pPr>
              <w:widowControl w:val="0"/>
              <w:spacing w:before="0" w:after="160" w:line="276" w:lineRule="auto"/>
              <w:jc w:val="left"/>
              <w:rPr>
                <w:rFonts w:ascii="Times New Roman" w:hAnsi="Times New Roman"/>
                <w:b/>
                <w:bCs/>
                <w:sz w:val="16"/>
                <w:szCs w:val="16"/>
              </w:rPr>
            </w:pPr>
            <w:r>
              <w:rPr>
                <w:rFonts w:ascii="Times New Roman" w:hAnsi="Times New Roman" w:cs="Arial"/>
                <w:b/>
                <w:bCs/>
                <w:sz w:val="16"/>
                <w:szCs w:val="16"/>
              </w:rPr>
              <w:t>MÉDIA VALOR TOTAL ANUAL</w:t>
            </w:r>
            <w:r>
              <w:rPr>
                <w:rFonts w:ascii="Times New Roman" w:hAnsi="Times New Roman" w:cs="Arial"/>
                <w:b/>
                <w:bCs/>
                <w:sz w:val="16"/>
                <w:szCs w:val="16"/>
                <w:lang w:val="en-US"/>
              </w:rPr>
              <w:t xml:space="preserve"> - R$</w:t>
            </w:r>
          </w:p>
        </w:tc>
      </w:tr>
      <w:tr>
        <w:tblPrEx>
          <w:tblCellMar>
            <w:top w:w="0" w:type="dxa"/>
            <w:left w:w="70" w:type="dxa"/>
            <w:bottom w:w="0" w:type="dxa"/>
            <w:right w:w="70" w:type="dxa"/>
          </w:tblCellMar>
        </w:tblPrEx>
        <w:trPr>
          <w:trHeight w:val="495" w:hRule="atLeast"/>
        </w:trPr>
        <w:tc>
          <w:tcPr>
            <w:tcW w:w="888" w:type="dxa"/>
            <w:tcBorders>
              <w:left w:val="single" w:color="000000" w:sz="8" w:space="0"/>
              <w:bottom w:val="single" w:color="000000" w:sz="4" w:space="0"/>
            </w:tcBorders>
            <w:vAlign w:val="center"/>
          </w:tcPr>
          <w:p>
            <w:pPr>
              <w:widowControl w:val="0"/>
              <w:spacing w:before="0" w:after="160" w:line="276" w:lineRule="auto"/>
              <w:jc w:val="both"/>
              <w:rPr>
                <w:rFonts w:ascii="Times New Roman" w:hAnsi="Times New Roman" w:cs="Arial"/>
                <w:bCs/>
                <w:sz w:val="18"/>
                <w:szCs w:val="18"/>
              </w:rPr>
            </w:pPr>
            <w:r>
              <w:rPr>
                <w:rFonts w:ascii="Times New Roman" w:hAnsi="Times New Roman" w:cs="Arial"/>
                <w:bCs/>
                <w:sz w:val="18"/>
                <w:szCs w:val="18"/>
              </w:rPr>
              <w:t>01</w:t>
            </w:r>
          </w:p>
        </w:tc>
        <w:tc>
          <w:tcPr>
            <w:tcW w:w="4025" w:type="dxa"/>
            <w:tcBorders>
              <w:left w:val="single" w:color="000000" w:sz="8" w:space="0"/>
              <w:bottom w:val="single" w:color="000000" w:sz="4" w:space="0"/>
              <w:right w:val="single" w:color="000000" w:sz="8" w:space="0"/>
            </w:tcBorders>
            <w:vAlign w:val="center"/>
          </w:tcPr>
          <w:p>
            <w:pPr>
              <w:spacing w:line="276" w:lineRule="auto"/>
              <w:jc w:val="both"/>
              <w:rPr>
                <w:rFonts w:ascii="Times New Roman" w:hAnsi="Times New Roman"/>
                <w:sz w:val="18"/>
                <w:szCs w:val="18"/>
              </w:rPr>
            </w:pPr>
            <w:r>
              <w:rPr>
                <w:rFonts w:ascii="Times New Roman" w:hAnsi="Times New Roman"/>
                <w:sz w:val="18"/>
                <w:szCs w:val="18"/>
              </w:rPr>
              <w:t>SERVIÇO DE GERENCIAMENTO DE FROTA</w:t>
            </w:r>
          </w:p>
          <w:p>
            <w:pPr>
              <w:spacing w:before="0" w:after="200" w:line="276" w:lineRule="auto"/>
              <w:jc w:val="both"/>
              <w:rPr>
                <w:rFonts w:ascii="Times New Roman" w:hAnsi="Times New Roman"/>
                <w:sz w:val="18"/>
                <w:szCs w:val="18"/>
              </w:rPr>
            </w:pPr>
            <w:r>
              <w:rPr>
                <w:rFonts w:ascii="Times New Roman" w:hAnsi="Times New Roman"/>
                <w:sz w:val="18"/>
                <w:szCs w:val="18"/>
              </w:rPr>
              <w:t>Serviços de e gerenciamento informatizado para fornecimento de combustíveis e lubrificantes, bem como serviços de manutenção preventiva e corretiva de veículos como o fornecimento de peças acessórios multimarcas, através de redes de estabelecimentos credenciados pela contratada, com a implantação e operação de sistema informatizado e integrado para gestão da frota, com tecnologia de cartão magnético com chip (tipo smart) ou cartão com tarja magnética, atendendo as necessidades da Câmara Municipal de Primavera do Leste-MT</w:t>
            </w:r>
          </w:p>
        </w:tc>
        <w:tc>
          <w:tcPr>
            <w:tcW w:w="962" w:type="dxa"/>
            <w:tcBorders>
              <w:bottom w:val="single" w:color="000000" w:sz="4" w:space="0"/>
            </w:tcBorders>
            <w:vAlign w:val="center"/>
          </w:tcPr>
          <w:p>
            <w:pPr>
              <w:widowControl w:val="0"/>
              <w:spacing w:before="0" w:after="160" w:line="276" w:lineRule="auto"/>
              <w:jc w:val="both"/>
              <w:rPr>
                <w:rFonts w:ascii="Times New Roman" w:hAnsi="Times New Roman" w:cs="Arial"/>
                <w:bCs/>
                <w:sz w:val="18"/>
                <w:szCs w:val="18"/>
              </w:rPr>
            </w:pPr>
            <w:r>
              <w:rPr>
                <w:rFonts w:ascii="Times New Roman" w:hAnsi="Times New Roman" w:cs="Arial"/>
                <w:bCs/>
                <w:sz w:val="18"/>
                <w:szCs w:val="18"/>
              </w:rPr>
              <w:t>SERV</w:t>
            </w:r>
          </w:p>
        </w:tc>
        <w:tc>
          <w:tcPr>
            <w:tcW w:w="1649" w:type="dxa"/>
            <w:tcBorders>
              <w:left w:val="single" w:color="000000" w:sz="8" w:space="0"/>
              <w:bottom w:val="single" w:color="000000" w:sz="8" w:space="0"/>
            </w:tcBorders>
            <w:vAlign w:val="center"/>
          </w:tcPr>
          <w:p>
            <w:pPr>
              <w:widowControl w:val="0"/>
              <w:spacing w:before="0" w:after="160" w:line="276" w:lineRule="auto"/>
              <w:jc w:val="both"/>
              <w:rPr>
                <w:rFonts w:ascii="Times New Roman" w:hAnsi="Times New Roman"/>
                <w:sz w:val="18"/>
                <w:szCs w:val="18"/>
              </w:rPr>
            </w:pPr>
            <w:r>
              <w:rPr>
                <w:rFonts w:ascii="Times New Roman" w:hAnsi="Times New Roman"/>
                <w:sz w:val="18"/>
                <w:szCs w:val="18"/>
              </w:rPr>
              <w:t>2,30%</w:t>
            </w:r>
          </w:p>
        </w:tc>
        <w:tc>
          <w:tcPr>
            <w:tcW w:w="1551" w:type="dxa"/>
            <w:tcBorders>
              <w:left w:val="single" w:color="000000" w:sz="8" w:space="0"/>
              <w:bottom w:val="single" w:color="000000" w:sz="8" w:space="0"/>
              <w:right w:val="single" w:color="000000" w:sz="8" w:space="0"/>
            </w:tcBorders>
            <w:vAlign w:val="center"/>
          </w:tcPr>
          <w:p>
            <w:pPr>
              <w:widowControl w:val="0"/>
              <w:spacing w:before="0" w:after="160" w:line="276" w:lineRule="auto"/>
              <w:jc w:val="both"/>
              <w:rPr>
                <w:rFonts w:ascii="Times New Roman" w:hAnsi="Times New Roman"/>
                <w:sz w:val="18"/>
                <w:szCs w:val="18"/>
              </w:rPr>
            </w:pPr>
            <w:r>
              <w:rPr>
                <w:rFonts w:ascii="Times New Roman" w:hAnsi="Times New Roman"/>
                <w:sz w:val="18"/>
                <w:szCs w:val="18"/>
              </w:rPr>
              <w:t>194.963,00</w:t>
            </w:r>
          </w:p>
        </w:tc>
      </w:tr>
      <w:tr>
        <w:tblPrEx>
          <w:tblCellMar>
            <w:top w:w="0" w:type="dxa"/>
            <w:left w:w="70" w:type="dxa"/>
            <w:bottom w:w="0" w:type="dxa"/>
            <w:right w:w="70" w:type="dxa"/>
          </w:tblCellMar>
        </w:tblPrEx>
        <w:trPr>
          <w:trHeight w:val="1286" w:hRule="atLeast"/>
        </w:trPr>
        <w:tc>
          <w:tcPr>
            <w:tcW w:w="9075" w:type="dxa"/>
            <w:gridSpan w:val="5"/>
            <w:tcBorders>
              <w:top w:val="single" w:color="000000" w:sz="4" w:space="0"/>
              <w:left w:val="single" w:color="000000" w:sz="4" w:space="0"/>
              <w:bottom w:val="single" w:color="000000" w:sz="4" w:space="0"/>
              <w:right w:val="single" w:color="000000" w:sz="4" w:space="0"/>
            </w:tcBorders>
            <w:vAlign w:val="center"/>
          </w:tcPr>
          <w:p>
            <w:pPr>
              <w:spacing w:line="276" w:lineRule="auto"/>
              <w:jc w:val="both"/>
              <w:rPr>
                <w:rFonts w:ascii="Times New Roman" w:hAnsi="Times New Roman"/>
                <w:b/>
                <w:bCs/>
                <w:sz w:val="16"/>
                <w:szCs w:val="16"/>
              </w:rPr>
            </w:pPr>
            <w:r>
              <w:rPr>
                <w:rFonts w:ascii="Times New Roman" w:hAnsi="Times New Roman"/>
                <w:b/>
                <w:bCs/>
                <w:sz w:val="16"/>
                <w:szCs w:val="16"/>
              </w:rPr>
              <w:t>Combustível, consumo anual: VALORES DE REFERENCIA TABELA ANP – RONDONÓPOLIS</w:t>
            </w:r>
          </w:p>
          <w:p>
            <w:pPr>
              <w:spacing w:line="276" w:lineRule="auto"/>
              <w:jc w:val="both"/>
              <w:rPr>
                <w:rFonts w:ascii="Times New Roman" w:hAnsi="Times New Roman"/>
                <w:b/>
                <w:bCs/>
                <w:sz w:val="16"/>
                <w:szCs w:val="16"/>
              </w:rPr>
            </w:pPr>
            <w:r>
              <w:rPr>
                <w:rFonts w:ascii="Times New Roman" w:hAnsi="Times New Roman"/>
                <w:b/>
                <w:bCs/>
                <w:sz w:val="16"/>
                <w:szCs w:val="16"/>
              </w:rPr>
              <w:t>DEMANDA ESTIMADA</w:t>
            </w:r>
          </w:p>
          <w:tbl>
            <w:tblPr>
              <w:tblStyle w:val="9"/>
              <w:tblW w:w="5000" w:type="pct"/>
              <w:tblInd w:w="0" w:type="dxa"/>
              <w:tblLayout w:type="fixed"/>
              <w:tblCellMar>
                <w:top w:w="55" w:type="dxa"/>
                <w:left w:w="55" w:type="dxa"/>
                <w:bottom w:w="55" w:type="dxa"/>
                <w:right w:w="55" w:type="dxa"/>
              </w:tblCellMar>
            </w:tblPr>
            <w:tblGrid>
              <w:gridCol w:w="2189"/>
              <w:gridCol w:w="996"/>
              <w:gridCol w:w="1999"/>
              <w:gridCol w:w="1871"/>
              <w:gridCol w:w="1880"/>
            </w:tblGrid>
            <w:tr>
              <w:tc>
                <w:tcPr>
                  <w:tcW w:w="2189"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DESCRIÇÃO</w:t>
                  </w:r>
                </w:p>
              </w:tc>
              <w:tc>
                <w:tcPr>
                  <w:tcW w:w="996"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UNIDADE</w:t>
                  </w:r>
                </w:p>
              </w:tc>
              <w:tc>
                <w:tcPr>
                  <w:tcW w:w="1999"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QUANTIDADE ESTIMADA EM LITROS</w:t>
                  </w:r>
                </w:p>
              </w:tc>
              <w:tc>
                <w:tcPr>
                  <w:tcW w:w="1871"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VALOR UNITÁRIO DO LITRO</w:t>
                  </w:r>
                </w:p>
              </w:tc>
              <w:tc>
                <w:tcPr>
                  <w:tcW w:w="1880" w:type="dxa"/>
                  <w:tcBorders>
                    <w:top w:val="single" w:color="000000" w:sz="4" w:space="0"/>
                    <w:left w:val="single" w:color="000000" w:sz="4" w:space="0"/>
                    <w:bottom w:val="single" w:color="000000" w:sz="4" w:space="0"/>
                    <w:right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QUANTIDADE ESTIMADA EM R$</w:t>
                  </w:r>
                </w:p>
              </w:tc>
            </w:tr>
            <w:tr>
              <w:tblPrEx>
                <w:tblCellMar>
                  <w:top w:w="55" w:type="dxa"/>
                  <w:left w:w="55" w:type="dxa"/>
                  <w:bottom w:w="55" w:type="dxa"/>
                  <w:right w:w="55" w:type="dxa"/>
                </w:tblCellMar>
              </w:tblPrEx>
              <w:trPr>
                <w:trHeight w:val="437" w:hRule="atLeast"/>
              </w:trPr>
              <w:tc>
                <w:tcPr>
                  <w:tcW w:w="2189"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GASOLINA COMUM</w:t>
                  </w:r>
                </w:p>
              </w:tc>
              <w:tc>
                <w:tcPr>
                  <w:tcW w:w="996"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LITRO</w:t>
                  </w:r>
                </w:p>
              </w:tc>
              <w:tc>
                <w:tcPr>
                  <w:tcW w:w="1999"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20.000</w:t>
                  </w:r>
                </w:p>
              </w:tc>
              <w:tc>
                <w:tcPr>
                  <w:tcW w:w="1871"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5,69</w:t>
                  </w:r>
                </w:p>
              </w:tc>
              <w:tc>
                <w:tcPr>
                  <w:tcW w:w="1880" w:type="dxa"/>
                  <w:tcBorders>
                    <w:left w:val="single" w:color="000000" w:sz="4" w:space="0"/>
                    <w:bottom w:val="single" w:color="000000" w:sz="4" w:space="0"/>
                    <w:right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113.800,00</w:t>
                  </w:r>
                </w:p>
              </w:tc>
            </w:tr>
            <w:tr>
              <w:tblPrEx>
                <w:tblCellMar>
                  <w:top w:w="55" w:type="dxa"/>
                  <w:left w:w="55" w:type="dxa"/>
                  <w:bottom w:w="55" w:type="dxa"/>
                  <w:right w:w="55" w:type="dxa"/>
                </w:tblCellMar>
              </w:tblPrEx>
              <w:tc>
                <w:tcPr>
                  <w:tcW w:w="2189"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DIESEL S-10</w:t>
                  </w:r>
                </w:p>
              </w:tc>
              <w:tc>
                <w:tcPr>
                  <w:tcW w:w="996"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LITRO</w:t>
                  </w:r>
                </w:p>
              </w:tc>
              <w:tc>
                <w:tcPr>
                  <w:tcW w:w="1999"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7.000</w:t>
                  </w:r>
                </w:p>
              </w:tc>
              <w:tc>
                <w:tcPr>
                  <w:tcW w:w="1871"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6,39</w:t>
                  </w:r>
                </w:p>
              </w:tc>
              <w:tc>
                <w:tcPr>
                  <w:tcW w:w="1880" w:type="dxa"/>
                  <w:tcBorders>
                    <w:left w:val="single" w:color="000000" w:sz="4" w:space="0"/>
                    <w:bottom w:val="single" w:color="000000" w:sz="4" w:space="0"/>
                    <w:right w:val="single" w:color="000000" w:sz="4" w:space="0"/>
                  </w:tcBorders>
                </w:tcPr>
                <w:p>
                  <w:pPr>
                    <w:pStyle w:val="168"/>
                    <w:widowControl/>
                    <w:suppressAutoHyphens/>
                    <w:spacing w:before="0" w:after="200" w:line="276" w:lineRule="auto"/>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44.730,00</w:t>
                  </w:r>
                </w:p>
              </w:tc>
            </w:tr>
          </w:tbl>
          <w:p>
            <w:pPr>
              <w:spacing w:line="276" w:lineRule="auto"/>
              <w:jc w:val="both"/>
              <w:rPr>
                <w:rFonts w:ascii="Times New Roman" w:hAnsi="Times New Roman"/>
                <w:sz w:val="16"/>
                <w:szCs w:val="16"/>
              </w:rPr>
            </w:pPr>
            <w:r>
              <w:rPr>
                <w:rFonts w:ascii="Times New Roman" w:hAnsi="Times New Roman"/>
                <w:sz w:val="16"/>
                <w:szCs w:val="16"/>
              </w:rPr>
              <w:t>Quantidade em litros de gasolina definida a partir dos dados de consumo do contrato vigente e a estimativa de consumo de óleo diesel foi estimado referente a demanda da Câmara Municipal.</w:t>
            </w:r>
          </w:p>
          <w:p>
            <w:pPr>
              <w:spacing w:line="276" w:lineRule="auto"/>
              <w:jc w:val="both"/>
              <w:rPr>
                <w:rFonts w:ascii="Times New Roman" w:hAnsi="Times New Roman"/>
                <w:b w:val="0"/>
                <w:bCs w:val="0"/>
                <w:sz w:val="16"/>
                <w:szCs w:val="16"/>
              </w:rPr>
            </w:pPr>
            <w:r>
              <w:rPr>
                <w:rFonts w:ascii="Times New Roman" w:hAnsi="Times New Roman"/>
                <w:b w:val="0"/>
                <w:bCs w:val="0"/>
                <w:sz w:val="16"/>
                <w:szCs w:val="16"/>
              </w:rPr>
              <w:t>Valores baseados no valor da tabela da ANP (Agência Nacional de Petróleo) do município de Rondonópolis no período de 31/12/2023 a 06/01/2024.</w:t>
            </w:r>
          </w:p>
          <w:p>
            <w:pPr>
              <w:spacing w:line="276" w:lineRule="auto"/>
              <w:jc w:val="both"/>
              <w:rPr>
                <w:rFonts w:ascii="Times New Roman" w:hAnsi="Times New Roman"/>
                <w:b w:val="0"/>
                <w:bCs w:val="0"/>
                <w:sz w:val="16"/>
                <w:szCs w:val="16"/>
              </w:rPr>
            </w:pPr>
          </w:p>
          <w:p>
            <w:pPr>
              <w:spacing w:line="276" w:lineRule="auto"/>
              <w:jc w:val="both"/>
              <w:rPr>
                <w:rFonts w:ascii="Times New Roman" w:hAnsi="Times New Roman"/>
                <w:b/>
                <w:bCs/>
                <w:sz w:val="16"/>
                <w:szCs w:val="16"/>
              </w:rPr>
            </w:pPr>
            <w:r>
              <w:rPr>
                <w:rFonts w:ascii="Times New Roman" w:hAnsi="Times New Roman"/>
                <w:b/>
                <w:bCs/>
                <w:sz w:val="16"/>
                <w:szCs w:val="16"/>
              </w:rPr>
              <w:t>Peças e serviços automotivos, consumo anual:</w:t>
            </w:r>
          </w:p>
          <w:tbl>
            <w:tblPr>
              <w:tblStyle w:val="9"/>
              <w:tblW w:w="5000" w:type="pct"/>
              <w:tblInd w:w="0" w:type="dxa"/>
              <w:tblLayout w:type="fixed"/>
              <w:tblCellMar>
                <w:top w:w="55" w:type="dxa"/>
                <w:left w:w="55" w:type="dxa"/>
                <w:bottom w:w="55" w:type="dxa"/>
                <w:right w:w="55" w:type="dxa"/>
              </w:tblCellMar>
            </w:tblPr>
            <w:tblGrid>
              <w:gridCol w:w="5956"/>
              <w:gridCol w:w="2979"/>
            </w:tblGrid>
            <w:tr>
              <w:tblPrEx>
                <w:tblCellMar>
                  <w:top w:w="55" w:type="dxa"/>
                  <w:left w:w="55" w:type="dxa"/>
                  <w:bottom w:w="55" w:type="dxa"/>
                  <w:right w:w="55" w:type="dxa"/>
                </w:tblCellMar>
              </w:tblPrEx>
              <w:tc>
                <w:tcPr>
                  <w:tcW w:w="5955" w:type="dxa"/>
                  <w:tcBorders>
                    <w:top w:val="single" w:color="000000" w:sz="4" w:space="0"/>
                    <w:left w:val="single" w:color="000000" w:sz="4" w:space="0"/>
                    <w:bottom w:val="single" w:color="000000" w:sz="4" w:space="0"/>
                  </w:tcBorders>
                </w:tcPr>
                <w:p>
                  <w:pPr>
                    <w:pStyle w:val="168"/>
                    <w:widowControl/>
                    <w:suppressAutoHyphens/>
                    <w:spacing w:before="0" w:after="200"/>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DESCRIÇÃO</w:t>
                  </w:r>
                </w:p>
              </w:tc>
              <w:tc>
                <w:tcPr>
                  <w:tcW w:w="2979" w:type="dxa"/>
                  <w:tcBorders>
                    <w:top w:val="single" w:color="000000" w:sz="4" w:space="0"/>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GASTO ANUAL (R$)</w:t>
                  </w:r>
                </w:p>
              </w:tc>
            </w:tr>
            <w:tr>
              <w:tblPrEx>
                <w:tblCellMar>
                  <w:top w:w="55" w:type="dxa"/>
                  <w:left w:w="55" w:type="dxa"/>
                  <w:bottom w:w="55" w:type="dxa"/>
                  <w:right w:w="55" w:type="dxa"/>
                </w:tblCellMar>
              </w:tblPrEx>
              <w:tc>
                <w:tcPr>
                  <w:tcW w:w="5955"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Peças, insumos e acessórios para veículos</w:t>
                  </w:r>
                </w:p>
              </w:tc>
              <w:tc>
                <w:tcPr>
                  <w:tcW w:w="2979"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19.100,00</w:t>
                  </w:r>
                </w:p>
              </w:tc>
            </w:tr>
            <w:tr>
              <w:tblPrEx>
                <w:tblCellMar>
                  <w:top w:w="55" w:type="dxa"/>
                  <w:left w:w="55" w:type="dxa"/>
                  <w:bottom w:w="55" w:type="dxa"/>
                  <w:right w:w="55" w:type="dxa"/>
                </w:tblCellMar>
              </w:tblPrEx>
              <w:tc>
                <w:tcPr>
                  <w:tcW w:w="5955"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Serviços</w:t>
                  </w:r>
                </w:p>
              </w:tc>
              <w:tc>
                <w:tcPr>
                  <w:tcW w:w="2979"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16"/>
                      <w:szCs w:val="16"/>
                    </w:rPr>
                  </w:pPr>
                  <w:r>
                    <w:rPr>
                      <w:rFonts w:ascii="Times New Roman" w:hAnsi="Times New Roman" w:eastAsia="Calibri" w:cs="Times New Roman"/>
                      <w:kern w:val="0"/>
                      <w:sz w:val="16"/>
                      <w:szCs w:val="16"/>
                      <w:lang w:val="pt-BR" w:eastAsia="zh-CN" w:bidi="hi-IN"/>
                    </w:rPr>
                    <w:t>12.950,00</w:t>
                  </w:r>
                </w:p>
              </w:tc>
            </w:tr>
            <w:tr>
              <w:tblPrEx>
                <w:tblCellMar>
                  <w:top w:w="55" w:type="dxa"/>
                  <w:left w:w="55" w:type="dxa"/>
                  <w:bottom w:w="55" w:type="dxa"/>
                  <w:right w:w="55" w:type="dxa"/>
                </w:tblCellMar>
              </w:tblPrEx>
              <w:tc>
                <w:tcPr>
                  <w:tcW w:w="5955"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b/>
                      <w:bCs/>
                      <w:sz w:val="16"/>
                      <w:szCs w:val="16"/>
                    </w:rPr>
                  </w:pPr>
                  <w:r>
                    <w:rPr>
                      <w:rFonts w:ascii="Times New Roman" w:hAnsi="Times New Roman" w:eastAsia="Calibri" w:cs="Times New Roman"/>
                      <w:b/>
                      <w:bCs/>
                      <w:kern w:val="0"/>
                      <w:sz w:val="16"/>
                      <w:szCs w:val="16"/>
                      <w:lang w:val="pt-BR" w:eastAsia="zh-CN" w:bidi="hi-IN"/>
                    </w:rPr>
                    <w:t>Total estimado</w:t>
                  </w:r>
                </w:p>
              </w:tc>
              <w:tc>
                <w:tcPr>
                  <w:tcW w:w="2979"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b/>
                      <w:bCs/>
                      <w:sz w:val="16"/>
                      <w:szCs w:val="16"/>
                    </w:rPr>
                  </w:pPr>
                  <w:r>
                    <w:rPr>
                      <w:rFonts w:ascii="Times New Roman" w:hAnsi="Times New Roman" w:eastAsia="Calibri" w:cs="Times New Roman"/>
                      <w:b/>
                      <w:bCs/>
                      <w:kern w:val="0"/>
                      <w:sz w:val="16"/>
                      <w:szCs w:val="16"/>
                      <w:lang w:val="pt-BR" w:eastAsia="zh-CN" w:bidi="hi-IN"/>
                    </w:rPr>
                    <w:t>32.050,00</w:t>
                  </w:r>
                </w:p>
              </w:tc>
            </w:tr>
          </w:tbl>
          <w:p>
            <w:pPr>
              <w:spacing w:before="0" w:after="200" w:line="276" w:lineRule="auto"/>
              <w:jc w:val="both"/>
              <w:rPr>
                <w:rFonts w:ascii="Times New Roman" w:hAnsi="Times New Roman"/>
                <w:b w:val="0"/>
                <w:bCs w:val="0"/>
                <w:sz w:val="16"/>
                <w:szCs w:val="16"/>
              </w:rPr>
            </w:pPr>
          </w:p>
        </w:tc>
      </w:tr>
    </w:tbl>
    <w:p>
      <w:pPr>
        <w:spacing w:line="276" w:lineRule="auto"/>
        <w:jc w:val="both"/>
        <w:rPr>
          <w:rFonts w:cs="Arial"/>
          <w:bCs/>
        </w:rPr>
      </w:pP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Fazem parte do presente Edital os anexos abaixo relacionados: </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 - Termo de Referência;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II - Modelo de Declarações;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III - Modelo de Proposta;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IV - Minuta da Ata de Registro de Preços;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Anexo V - Minuta do Instrumento de Contrato.</w:t>
      </w:r>
    </w:p>
    <w:p>
      <w:pPr>
        <w:pStyle w:val="2"/>
        <w:spacing w:before="360" w:after="0"/>
      </w:pPr>
      <w:bookmarkStart w:id="7" w:name="_Toc149517432"/>
      <w:r>
        <w:rPr>
          <w:rStyle w:val="45"/>
          <w:sz w:val="22"/>
          <w:szCs w:val="22"/>
        </w:rPr>
        <w:t>CONDIÇÕES PARA PARTICIPAÇÃO</w:t>
      </w:r>
      <w:bookmarkEnd w:id="7"/>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Para </w:t>
      </w:r>
      <w:r>
        <w:rPr>
          <w:sz w:val="22"/>
          <w:szCs w:val="22"/>
        </w:rPr>
        <w:t>participar</w:t>
      </w:r>
      <w:r>
        <w:rPr>
          <w:rStyle w:val="45"/>
          <w:color w:val="000000"/>
          <w:sz w:val="22"/>
          <w:szCs w:val="22"/>
        </w:rPr>
        <w:t xml:space="preserve"> deste Pregão, em sua forma eletrônica (</w:t>
      </w:r>
      <w:r>
        <w:fldChar w:fldCharType="begin"/>
      </w:r>
      <w:r>
        <w:rPr>
          <w:rStyle w:val="54"/>
          <w:sz w:val="22"/>
          <w:szCs w:val="22"/>
        </w:rPr>
        <w:instrText xml:space="preserve"> HYPERLINK "https://www.planalto.gov.br/ccivil_03/_ato2019-2022/2021/lei/l14133.htm" \l "art17"</w:instrText>
      </w:r>
      <w:r>
        <w:rPr>
          <w:rStyle w:val="54"/>
          <w:sz w:val="22"/>
          <w:szCs w:val="22"/>
        </w:rPr>
        <w:fldChar w:fldCharType="separate"/>
      </w:r>
      <w:r>
        <w:rPr>
          <w:rStyle w:val="54"/>
          <w:sz w:val="22"/>
          <w:szCs w:val="22"/>
        </w:rPr>
        <w:t>art. 17, § 2º, da Lei Federal nº 14.133, de 2021</w:t>
      </w:r>
      <w:r>
        <w:rPr>
          <w:rStyle w:val="54"/>
          <w:sz w:val="22"/>
          <w:szCs w:val="22"/>
        </w:rPr>
        <w:fldChar w:fldCharType="end"/>
      </w:r>
      <w:r>
        <w:rPr>
          <w:rStyle w:val="45"/>
          <w:color w:val="000000"/>
          <w:sz w:val="22"/>
          <w:szCs w:val="22"/>
        </w:rPr>
        <w:t>), a licitante deverá preencher os seguintes requisitos:</w:t>
      </w:r>
      <w:r>
        <w:rPr>
          <w:rStyle w:val="47"/>
          <w:color w:val="000000"/>
          <w:sz w:val="22"/>
          <w:szCs w:val="22"/>
        </w:rPr>
        <w:t xml:space="preserve"> </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 jurídica cujo ramo de atividade seja compatível com o objeto desta licitação;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Ser credenciada junto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que atuará como órgão provedor do sistema eletrônico;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Enviar em campo próprio do sistema eletrônico a</w:t>
      </w:r>
      <w:r>
        <w:rPr>
          <w:rStyle w:val="45"/>
          <w:sz w:val="22"/>
          <w:szCs w:val="22"/>
        </w:rPr>
        <w:t>s</w:t>
      </w:r>
      <w:r>
        <w:rPr>
          <w:rStyle w:val="45"/>
          <w:color w:val="000000"/>
          <w:sz w:val="22"/>
          <w:szCs w:val="22"/>
        </w:rPr>
        <w:t xml:space="preserve"> seguintes declarações virtuais de que:</w:t>
      </w:r>
    </w:p>
    <w:p>
      <w:pPr>
        <w:pStyle w:val="3"/>
        <w:numPr>
          <w:ilvl w:val="3"/>
          <w:numId w:val="1"/>
        </w:numPr>
        <w:tabs>
          <w:tab w:val="left" w:pos="1134"/>
        </w:tabs>
        <w:spacing w:before="0" w:beforeAutospacing="0" w:after="0" w:afterAutospacing="0"/>
        <w:jc w:val="both"/>
        <w:textAlignment w:val="baseline"/>
      </w:pPr>
      <w:r>
        <w:rPr>
          <w:rStyle w:val="45"/>
          <w:color w:val="000000"/>
          <w:sz w:val="22"/>
          <w:szCs w:val="22"/>
        </w:rPr>
        <w:t>cumpre plenamente os requisitos de habilitação e que sua proposta está em conformidade com as exigências do instrumento convocatório; (</w:t>
      </w:r>
      <w:r>
        <w:fldChar w:fldCharType="begin"/>
      </w:r>
      <w:r>
        <w:rPr>
          <w:rStyle w:val="54"/>
          <w:sz w:val="22"/>
          <w:szCs w:val="22"/>
        </w:rPr>
        <w:instrText xml:space="preserve"> HYPERLINK "https://www.planalto.gov.br/ccivil_03/_ato2019-2022/2021/lei/l14133.htm" \l "art63"</w:instrText>
      </w:r>
      <w:r>
        <w:rPr>
          <w:rStyle w:val="54"/>
          <w:sz w:val="22"/>
          <w:szCs w:val="22"/>
        </w:rPr>
        <w:fldChar w:fldCharType="separate"/>
      </w:r>
      <w:r>
        <w:rPr>
          <w:rStyle w:val="54"/>
          <w:sz w:val="22"/>
          <w:szCs w:val="22"/>
        </w:rPr>
        <w:t>art. 63, I, da Lei Federal nº 14.133, de 2021</w:t>
      </w:r>
      <w:r>
        <w:rPr>
          <w:rStyle w:val="54"/>
          <w:sz w:val="22"/>
          <w:szCs w:val="22"/>
        </w:rPr>
        <w:fldChar w:fldCharType="end"/>
      </w:r>
      <w:r>
        <w:rPr>
          <w:rStyle w:val="45"/>
          <w:color w:val="000000"/>
          <w:sz w:val="22"/>
          <w:szCs w:val="22"/>
        </w:rPr>
        <w:t>).</w:t>
      </w:r>
    </w:p>
    <w:p>
      <w:pPr>
        <w:pStyle w:val="3"/>
        <w:numPr>
          <w:ilvl w:val="3"/>
          <w:numId w:val="1"/>
        </w:numPr>
        <w:tabs>
          <w:tab w:val="left" w:pos="1134"/>
        </w:tabs>
        <w:spacing w:before="0" w:beforeAutospacing="0" w:after="0" w:afterAutospacing="0"/>
        <w:jc w:val="both"/>
        <w:textAlignment w:val="baseline"/>
      </w:pPr>
      <w:r>
        <w:rPr>
          <w:rStyle w:val="45"/>
          <w:color w:val="000000"/>
          <w:sz w:val="22"/>
          <w:szCs w:val="22"/>
        </w:rPr>
        <w:t xml:space="preserve">atende aos requisitos do </w:t>
      </w:r>
      <w:r>
        <w:fldChar w:fldCharType="begin"/>
      </w:r>
      <w:r>
        <w:rPr>
          <w:rStyle w:val="54"/>
          <w:sz w:val="22"/>
          <w:szCs w:val="22"/>
        </w:rPr>
        <w:instrText xml:space="preserve"> HYPERLINK "https://www.planalto.gov.br/ccivil_03/_ato2019-2022/2021/lei/l14133.htm" \l "art4"</w:instrText>
      </w:r>
      <w:r>
        <w:rPr>
          <w:rStyle w:val="54"/>
          <w:sz w:val="22"/>
          <w:szCs w:val="22"/>
        </w:rPr>
        <w:fldChar w:fldCharType="separate"/>
      </w:r>
      <w:r>
        <w:rPr>
          <w:rStyle w:val="54"/>
          <w:sz w:val="22"/>
          <w:szCs w:val="22"/>
        </w:rPr>
        <w:t>art. 4º, §§2º e 3º, da Lei Federal nº 14.133, de 2021</w:t>
      </w:r>
      <w:r>
        <w:rPr>
          <w:rStyle w:val="54"/>
          <w:sz w:val="22"/>
          <w:szCs w:val="22"/>
        </w:rPr>
        <w:fldChar w:fldCharType="end"/>
      </w:r>
      <w:r>
        <w:rPr>
          <w:rStyle w:val="45"/>
          <w:color w:val="000000"/>
          <w:sz w:val="22"/>
          <w:szCs w:val="22"/>
        </w:rPr>
        <w:t xml:space="preserve"> para fazer jus aos benefícios previstos nos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arts. 42 a 49 da Lei Complementar Federal nº 123, de 2006</w:t>
      </w:r>
      <w:r>
        <w:rPr>
          <w:rStyle w:val="54"/>
          <w:sz w:val="22"/>
          <w:szCs w:val="22"/>
        </w:rPr>
        <w:fldChar w:fldCharType="end"/>
      </w:r>
      <w:r>
        <w:rPr>
          <w:rStyle w:val="45"/>
          <w:color w:val="000000"/>
          <w:sz w:val="22"/>
          <w:szCs w:val="22"/>
        </w:rPr>
        <w:t>; (</w:t>
      </w:r>
      <w:r>
        <w:fldChar w:fldCharType="begin"/>
      </w:r>
      <w:r>
        <w:rPr>
          <w:rStyle w:val="54"/>
          <w:sz w:val="22"/>
          <w:szCs w:val="22"/>
        </w:rPr>
        <w:instrText xml:space="preserve"> HYPERLINK "https://www.planalto.gov.br/ccivil_03/_ato2019-2022/2021/lei/l14133.htm" \l "art4"</w:instrText>
      </w:r>
      <w:r>
        <w:rPr>
          <w:rStyle w:val="54"/>
          <w:sz w:val="22"/>
          <w:szCs w:val="22"/>
        </w:rPr>
        <w:fldChar w:fldCharType="separate"/>
      </w:r>
      <w:r>
        <w:rPr>
          <w:rStyle w:val="54"/>
          <w:sz w:val="22"/>
          <w:szCs w:val="22"/>
        </w:rPr>
        <w:t>art. 4º, §§2º e 3º da Lei Federal nº 14.133, de 2021</w:t>
      </w:r>
      <w:r>
        <w:rPr>
          <w:rStyle w:val="54"/>
          <w:sz w:val="22"/>
          <w:szCs w:val="22"/>
        </w:rPr>
        <w:fldChar w:fldCharType="end"/>
      </w:r>
      <w:r>
        <w:rPr>
          <w:rStyle w:val="45"/>
          <w:color w:val="000000"/>
          <w:sz w:val="22"/>
          <w:szCs w:val="22"/>
        </w:rPr>
        <w:t>)</w:t>
      </w:r>
    </w:p>
    <w:p>
      <w:pPr>
        <w:pStyle w:val="3"/>
        <w:numPr>
          <w:ilvl w:val="3"/>
          <w:numId w:val="1"/>
        </w:numPr>
        <w:tabs>
          <w:tab w:val="left" w:pos="1134"/>
        </w:tabs>
        <w:spacing w:before="0" w:beforeAutospacing="0" w:after="0" w:afterAutospacing="0"/>
        <w:jc w:val="both"/>
        <w:textAlignment w:val="baseline"/>
      </w:pPr>
      <w:r>
        <w:rPr>
          <w:rStyle w:val="45"/>
          <w:sz w:val="22"/>
          <w:szCs w:val="22"/>
        </w:rPr>
        <w:t xml:space="preserve">cumpre as exigências de reserva de cargos para pessoa com deficiência e para reabilitado da Previdência Social, previstas no </w:t>
      </w:r>
      <w:r>
        <w:fldChar w:fldCharType="begin"/>
      </w:r>
      <w:r>
        <w:rPr>
          <w:rStyle w:val="54"/>
          <w:sz w:val="22"/>
          <w:szCs w:val="22"/>
        </w:rPr>
        <w:instrText xml:space="preserve"> HYPERLINK "https://www.planalto.gov.br/ccivil_03/leis/l8213cons.htm" \l "art93"</w:instrText>
      </w:r>
      <w:r>
        <w:rPr>
          <w:rStyle w:val="54"/>
          <w:sz w:val="22"/>
          <w:szCs w:val="22"/>
        </w:rPr>
        <w:fldChar w:fldCharType="separate"/>
      </w:r>
      <w:r>
        <w:rPr>
          <w:rStyle w:val="54"/>
          <w:sz w:val="22"/>
          <w:szCs w:val="22"/>
        </w:rPr>
        <w:t>art. 93 da Lei Federal nº 8.213, de 1991</w:t>
      </w:r>
      <w:r>
        <w:rPr>
          <w:rStyle w:val="54"/>
          <w:sz w:val="22"/>
          <w:szCs w:val="22"/>
        </w:rPr>
        <w:fldChar w:fldCharType="end"/>
      </w:r>
      <w:r>
        <w:rPr>
          <w:rStyle w:val="45"/>
          <w:sz w:val="22"/>
          <w:szCs w:val="22"/>
        </w:rPr>
        <w:t xml:space="preserve"> e em outras normas específicas; (</w:t>
      </w:r>
      <w:r>
        <w:fldChar w:fldCharType="begin"/>
      </w:r>
      <w:r>
        <w:rPr>
          <w:rStyle w:val="54"/>
          <w:sz w:val="22"/>
          <w:szCs w:val="22"/>
        </w:rPr>
        <w:instrText xml:space="preserve"> HYPERLINK "https://www.planalto.gov.br/ccivil_03/_ato2019-2022/2021/lei/l14133.htm" \l "art63"</w:instrText>
      </w:r>
      <w:r>
        <w:rPr>
          <w:rStyle w:val="54"/>
          <w:sz w:val="22"/>
          <w:szCs w:val="22"/>
        </w:rPr>
        <w:fldChar w:fldCharType="separate"/>
      </w:r>
      <w:r>
        <w:rPr>
          <w:rStyle w:val="54"/>
          <w:sz w:val="22"/>
          <w:szCs w:val="22"/>
        </w:rPr>
        <w:t>art. 63, IV, da Lei Federal nº 14.133, de 2021</w:t>
      </w:r>
      <w:r>
        <w:rPr>
          <w:rStyle w:val="54"/>
          <w:sz w:val="22"/>
          <w:szCs w:val="22"/>
        </w:rPr>
        <w:fldChar w:fldCharType="end"/>
      </w:r>
      <w:r>
        <w:rPr>
          <w:rStyle w:val="45"/>
          <w:sz w:val="22"/>
          <w:szCs w:val="22"/>
        </w:rPr>
        <w:t>)</w:t>
      </w:r>
    </w:p>
    <w:p>
      <w:pPr>
        <w:pStyle w:val="3"/>
        <w:numPr>
          <w:ilvl w:val="3"/>
          <w:numId w:val="1"/>
        </w:numPr>
        <w:tabs>
          <w:tab w:val="left" w:pos="1134"/>
        </w:tabs>
        <w:spacing w:before="0" w:beforeAutospacing="0" w:after="0" w:afterAutospacing="0"/>
        <w:jc w:val="both"/>
        <w:textAlignment w:val="baseline"/>
      </w:pPr>
      <w:r>
        <w:rPr>
          <w:rStyle w:val="45"/>
          <w:color w:val="000000"/>
          <w:sz w:val="22"/>
          <w:szCs w:val="22"/>
        </w:rPr>
        <w:t>inexiste fato impeditivo para licitar ou contratar com a União Federal.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declaração falsa sujeitará a licitante à inabilitação e ao enquadramento na infração prevista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VIII, da Lei Federal nº 14.133, de 2021</w:t>
      </w:r>
      <w:r>
        <w:rPr>
          <w:rStyle w:val="54"/>
          <w:sz w:val="22"/>
          <w:szCs w:val="22"/>
        </w:rPr>
        <w:fldChar w:fldCharType="end"/>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Não poderão participar deste Pregão: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aquele que não atenda às condições deste Edital e seu(s) anexo(s);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pessoas físicas;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Microempreendedores Individuais (MEI’s);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pessoas jurídicas que não possuam Inscrição Municipal ou que não possuam autorização legal para a prestação dos serviços que são objeto do presente Pregão;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empresa que possua entre seus sócios </w:t>
      </w:r>
      <w:r>
        <w:rPr>
          <w:rStyle w:val="45"/>
          <w:sz w:val="22"/>
          <w:szCs w:val="22"/>
        </w:rPr>
        <w:t xml:space="preserve">agente público vinculado à </w:t>
      </w:r>
      <w:r>
        <w:rPr>
          <w:rStyle w:val="45"/>
          <w:color w:val="000000"/>
          <w:sz w:val="22"/>
          <w:szCs w:val="22"/>
        </w:rPr>
        <w:t>Câmara Municipal de Primavera do Leste - MT</w:t>
      </w:r>
      <w:r>
        <w:rPr>
          <w:rStyle w:val="45"/>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quem não cumprir os requisitos formais para participação neste </w:t>
      </w:r>
      <w:r>
        <w:rPr>
          <w:rStyle w:val="45"/>
          <w:color w:val="000000" w:themeColor="text1"/>
          <w:sz w:val="22"/>
          <w:szCs w:val="22"/>
        </w:rPr>
        <w:t>Pregão</w:t>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rStyle w:val="54"/>
          <w:sz w:val="22"/>
          <w:szCs w:val="22"/>
        </w:rPr>
        <w:instrText xml:space="preserve"> HYPERLINK "https://www.planalto.gov.br/ccivil_03/_ato2019-2022/2021/lei/l14133.htm" \l "art9"</w:instrText>
      </w:r>
      <w:r>
        <w:rPr>
          <w:rStyle w:val="54"/>
          <w:sz w:val="22"/>
          <w:szCs w:val="22"/>
        </w:rPr>
        <w:fldChar w:fldCharType="separate"/>
      </w:r>
      <w:r>
        <w:rPr>
          <w:rStyle w:val="54"/>
          <w:sz w:val="22"/>
          <w:szCs w:val="22"/>
        </w:rPr>
        <w:t>art. 9º, §1º,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rStyle w:val="54"/>
          <w:sz w:val="22"/>
          <w:szCs w:val="22"/>
        </w:rPr>
        <w:instrText xml:space="preserve"> HYPERLINK "https://www.planalto.gov.br/ccivil_03/_ato2019-2022/2021/lei/l14133.htm" \l "art9"</w:instrText>
      </w:r>
      <w:r>
        <w:rPr>
          <w:rStyle w:val="54"/>
          <w:sz w:val="22"/>
          <w:szCs w:val="22"/>
        </w:rPr>
        <w:fldChar w:fldCharType="separate"/>
      </w:r>
      <w:r>
        <w:rPr>
          <w:rStyle w:val="54"/>
          <w:sz w:val="22"/>
          <w:szCs w:val="22"/>
        </w:rPr>
        <w:t>art. 9º, §2º,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sz w:val="22"/>
          <w:szCs w:val="22"/>
        </w:rPr>
        <w:t xml:space="preserve">autor do anteprojeto, do projeto básico ou do projeto executivo; </w:t>
      </w:r>
      <w:r>
        <w:rPr>
          <w:rStyle w:val="45"/>
          <w:color w:val="000000"/>
          <w:sz w:val="22"/>
          <w:szCs w:val="22"/>
        </w:rPr>
        <w:t>(</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 e II e §§ 2º e 3º,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III e §1º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45"/>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IV,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empresas controladoras, controladas ou coligadas, nos termos da </w:t>
      </w:r>
      <w:r>
        <w:fldChar w:fldCharType="begin"/>
      </w:r>
      <w:r>
        <w:instrText xml:space="preserve"> HYPERLINK "https://www.planalto.gov.br/ccivil_03/leis/l6404consol.htm" \h </w:instrText>
      </w:r>
      <w:r>
        <w:fldChar w:fldCharType="separate"/>
      </w:r>
      <w:r>
        <w:rPr>
          <w:rStyle w:val="54"/>
          <w:sz w:val="22"/>
          <w:szCs w:val="22"/>
        </w:rPr>
        <w:t>Lei Federal nº 6.404, de 1976</w:t>
      </w:r>
      <w:r>
        <w:rPr>
          <w:rStyle w:val="54"/>
          <w:sz w:val="22"/>
          <w:szCs w:val="22"/>
        </w:rPr>
        <w:fldChar w:fldCharType="end"/>
      </w:r>
      <w:r>
        <w:rPr>
          <w:rStyle w:val="45"/>
          <w:color w:val="000000"/>
          <w:sz w:val="22"/>
          <w:szCs w:val="22"/>
        </w:rPr>
        <w:t>, concorrendo entre si;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V,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art. 14, VI, da Lei Federal nº 14.133, de 2021</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Organizações da Sociedade Civil de Interesse Público - OSCIP, atuando nessa condição (</w:t>
      </w:r>
      <w:r>
        <w:fldChar w:fldCharType="begin"/>
      </w:r>
      <w:r>
        <w:instrText xml:space="preserve"> HYPERLINK "https://pesquisa.apps.tcu.gov.br/documento/acordao-completo/*/KEY%253AACORDAO-COMPLETO-1302349/DTRELEVANCIA%2520desc/0/sinonimos%253Dfalse" \h </w:instrText>
      </w:r>
      <w:r>
        <w:fldChar w:fldCharType="separate"/>
      </w:r>
      <w:r>
        <w:rPr>
          <w:rStyle w:val="54"/>
          <w:sz w:val="22"/>
          <w:szCs w:val="22"/>
        </w:rPr>
        <w:t>Acórdão nº 746/2014-TCU-Plenário</w:t>
      </w:r>
      <w:r>
        <w:rPr>
          <w:rStyle w:val="54"/>
          <w:sz w:val="22"/>
          <w:szCs w:val="22"/>
        </w:rPr>
        <w:fldChar w:fldCharType="end"/>
      </w:r>
      <w:r>
        <w:rPr>
          <w:rStyle w:val="45"/>
          <w:color w:val="000000"/>
          <w:sz w:val="22"/>
          <w:szCs w:val="22"/>
        </w:rPr>
        <w:t>);</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aqueles que se enquadrem nas demais vedações do </w:t>
      </w:r>
      <w:r>
        <w:fldChar w:fldCharType="begin"/>
      </w:r>
      <w:r>
        <w:rPr>
          <w:rStyle w:val="54"/>
          <w:sz w:val="22"/>
          <w:szCs w:val="22"/>
        </w:rPr>
        <w:instrText xml:space="preserve"> HYPERLINK "https://www.planalto.gov.br/ccivil_03/_ato2019-2022/2021/lei/l14133.htm" \l "art14"</w:instrText>
      </w:r>
      <w:r>
        <w:rPr>
          <w:rStyle w:val="54"/>
          <w:sz w:val="22"/>
          <w:szCs w:val="22"/>
        </w:rPr>
        <w:fldChar w:fldCharType="separate"/>
      </w:r>
      <w:r>
        <w:rPr>
          <w:rStyle w:val="54"/>
          <w:sz w:val="22"/>
          <w:szCs w:val="22"/>
        </w:rPr>
        <w:t xml:space="preserve">art. 14 da Lei Federal nº 14.133, de </w:t>
      </w:r>
      <w:r>
        <w:rPr>
          <w:rStyle w:val="54"/>
          <w:sz w:val="22"/>
          <w:szCs w:val="22"/>
        </w:rPr>
        <w:fldChar w:fldCharType="end"/>
      </w:r>
      <w:r>
        <w:rPr>
          <w:rStyle w:val="54"/>
          <w:sz w:val="22"/>
          <w:szCs w:val="22"/>
        </w:rPr>
        <w:t>2021</w:t>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verificação dos impedimentos e condições de participação ocorrerá somente após a fase competitiva do certame, momento no qual o </w:t>
      </w:r>
      <w:r>
        <w:rPr>
          <w:sz w:val="22"/>
          <w:szCs w:val="22"/>
        </w:rPr>
        <w:t>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permite a identificação dos participantes do certame licitatório.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Encerrada a fase de lances, o  </w:t>
      </w:r>
      <w:r>
        <w:rPr>
          <w:sz w:val="22"/>
          <w:szCs w:val="22"/>
        </w:rPr>
        <w:t>Pregoeiro</w:t>
      </w:r>
      <w:r>
        <w:rPr>
          <w:rStyle w:val="45"/>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45"/>
          <w:sz w:val="22"/>
          <w:szCs w:val="22"/>
        </w:rPr>
        <w:t>cadastro unificado de licitantes (</w:t>
      </w:r>
      <w:r>
        <w:fldChar w:fldCharType="begin"/>
      </w:r>
      <w:r>
        <w:rPr>
          <w:rStyle w:val="54"/>
          <w:sz w:val="22"/>
          <w:szCs w:val="22"/>
        </w:rPr>
        <w:instrText xml:space="preserve"> HYPERLINK "https://www.planalto.gov.br/ccivil_03/_ato2019-2022/2021/lei/l14133.htm" \l "art87"</w:instrText>
      </w:r>
      <w:r>
        <w:rPr>
          <w:rStyle w:val="54"/>
          <w:sz w:val="22"/>
          <w:szCs w:val="22"/>
        </w:rPr>
        <w:fldChar w:fldCharType="separate"/>
      </w:r>
      <w:r>
        <w:rPr>
          <w:rStyle w:val="54"/>
          <w:sz w:val="22"/>
          <w:szCs w:val="22"/>
        </w:rPr>
        <w:t>art. 87 da Lei Federal nº 14.133, de 2021</w:t>
      </w:r>
      <w:r>
        <w:rPr>
          <w:rStyle w:val="54"/>
          <w:sz w:val="22"/>
          <w:szCs w:val="22"/>
        </w:rPr>
        <w:fldChar w:fldCharType="end"/>
      </w:r>
      <w:r>
        <w:rPr>
          <w:rStyle w:val="45"/>
          <w:sz w:val="22"/>
          <w:szCs w:val="22"/>
        </w:rPr>
        <w:t>)</w:t>
      </w:r>
      <w:r>
        <w:rPr>
          <w:rStyle w:val="45"/>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Havendo qualquer impedimento, a licitante será, automaticamente, excluída da licitação, sem prejuízo das sanções previstas neste edital e em lei.</w:t>
      </w:r>
    </w:p>
    <w:p>
      <w:pPr>
        <w:pStyle w:val="2"/>
        <w:spacing w:before="360" w:after="0"/>
      </w:pPr>
      <w:bookmarkStart w:id="8" w:name="_CONSÓRCIO"/>
      <w:bookmarkEnd w:id="8"/>
      <w:bookmarkStart w:id="9" w:name="_Toc149517433"/>
      <w:r>
        <w:rPr>
          <w:rStyle w:val="45"/>
          <w:sz w:val="22"/>
          <w:szCs w:val="22"/>
        </w:rPr>
        <w:t>CONSÓRCIO</w:t>
      </w:r>
      <w:bookmarkEnd w:id="9"/>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da Lei Federal nº 14.133, de 2021</w:t>
      </w:r>
      <w:r>
        <w:rPr>
          <w:rStyle w:val="54"/>
          <w:sz w:val="22"/>
          <w:szCs w:val="22"/>
        </w:rPr>
        <w:fldChar w:fldCharType="end"/>
      </w:r>
      <w:r>
        <w:rPr>
          <w:sz w:val="22"/>
          <w:szCs w:val="22"/>
        </w:rPr>
        <w:t>, pessoa jurídica poderá participar de licitação em consórcio, observadas as seguintes normas:</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Comprovação de compromisso público ou particular de constituição de consórcio, subscrito pelos consorciados;</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Indicação da empresa líder do consórcio, que será responsável por sua representação perante a Administração;</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Impedimento de a empresa consorciada participar, na mesma licitação, de mais de um consórcio ou de forma isolada;</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Responsabilidade solidária dos integrantes pelos atos praticados em consórcio, tanto na fase de licitação quanto na de execução do contrato.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I, da Lei Federal nº 14.133, de 2021</w:t>
      </w:r>
      <w:r>
        <w:rPr>
          <w:rStyle w:val="54"/>
          <w:sz w:val="22"/>
          <w:szCs w:val="22"/>
        </w:rPr>
        <w:fldChar w:fldCharType="end"/>
      </w:r>
      <w:r>
        <w:rPr>
          <w:sz w:val="22"/>
          <w:szCs w:val="22"/>
        </w:rPr>
        <w:t>.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§3º, da Lei Federal nº 14.133, de 2021</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substituição de consorciado deverá ser expressamente autorizada pela </w:t>
      </w:r>
      <w:r>
        <w:rPr>
          <w:rStyle w:val="45"/>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rStyle w:val="54"/>
          <w:sz w:val="22"/>
          <w:szCs w:val="22"/>
        </w:rPr>
        <w:instrText xml:space="preserve"> HYPERLINK "https://www.planalto.gov.br/ccivil_03/_ato2019-2022/2021/lei/l14133.htm" \l "art15"</w:instrText>
      </w:r>
      <w:r>
        <w:rPr>
          <w:rStyle w:val="54"/>
          <w:sz w:val="22"/>
          <w:szCs w:val="22"/>
        </w:rPr>
        <w:fldChar w:fldCharType="separate"/>
      </w:r>
      <w:r>
        <w:rPr>
          <w:rStyle w:val="54"/>
          <w:sz w:val="22"/>
          <w:szCs w:val="22"/>
        </w:rPr>
        <w:t>art. 15, §5º, da Lei Federal nº 14.133, de 2021</w:t>
      </w:r>
      <w:r>
        <w:rPr>
          <w:rStyle w:val="54"/>
          <w:sz w:val="22"/>
          <w:szCs w:val="22"/>
        </w:rPr>
        <w:fldChar w:fldCharType="end"/>
      </w:r>
      <w:r>
        <w:rPr>
          <w:sz w:val="22"/>
          <w:szCs w:val="22"/>
        </w:rPr>
        <w:t>).</w:t>
      </w:r>
    </w:p>
    <w:p>
      <w:pPr>
        <w:pStyle w:val="2"/>
        <w:spacing w:before="360" w:after="0"/>
        <w:rPr>
          <w:rStyle w:val="45"/>
          <w:b w:val="0"/>
          <w:bCs w:val="0"/>
        </w:rPr>
      </w:pPr>
      <w:bookmarkStart w:id="10" w:name="_Toc149517434"/>
      <w:r>
        <w:rPr>
          <w:rStyle w:val="45"/>
        </w:rPr>
        <w:t>COOPERATIVA</w:t>
      </w:r>
      <w:bookmarkEnd w:id="10"/>
    </w:p>
    <w:p>
      <w:pPr>
        <w:pStyle w:val="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4"/>
          <w:sz w:val="22"/>
          <w:szCs w:val="22"/>
        </w:rPr>
        <w:instrText xml:space="preserve"> HYPERLINK "https://www.planalto.gov.br/ccivil_03/_ato2019-2022/2021/lei/l14133.htm" \l "art16"</w:instrText>
      </w:r>
      <w:r>
        <w:rPr>
          <w:rStyle w:val="54"/>
          <w:sz w:val="22"/>
          <w:szCs w:val="22"/>
        </w:rPr>
        <w:fldChar w:fldCharType="separate"/>
      </w:r>
      <w:r>
        <w:rPr>
          <w:rStyle w:val="54"/>
          <w:sz w:val="22"/>
          <w:szCs w:val="22"/>
        </w:rPr>
        <w:t>art. 16 da Lei Federal nº 14.133, de 2021</w:t>
      </w:r>
      <w:r>
        <w:rPr>
          <w:rStyle w:val="54"/>
          <w:sz w:val="22"/>
          <w:szCs w:val="22"/>
        </w:rPr>
        <w:fldChar w:fldCharType="end"/>
      </w:r>
      <w:r>
        <w:rPr>
          <w:sz w:val="22"/>
          <w:szCs w:val="22"/>
        </w:rPr>
        <w:t>, pessoa jurídica organizada em forma de cooperativa poderá participar da licitação quando:</w:t>
      </w:r>
    </w:p>
    <w:p>
      <w:pPr>
        <w:pStyle w:val="3"/>
        <w:numPr>
          <w:ilvl w:val="2"/>
          <w:numId w:val="1"/>
        </w:numPr>
        <w:tabs>
          <w:tab w:val="left" w:pos="1134"/>
        </w:tabs>
        <w:spacing w:before="0" w:beforeAutospacing="0" w:after="0" w:afterAutospacing="0"/>
        <w:jc w:val="both"/>
        <w:textAlignment w:val="baseline"/>
      </w:pPr>
      <w:r>
        <w:rPr>
          <w:color w:val="000000"/>
          <w:sz w:val="22"/>
          <w:szCs w:val="22"/>
        </w:rPr>
        <w:t xml:space="preserve">a constituição e o funcionamento da cooperativa observarem as regras estabelecidas na legislação aplicável, em especial a </w:t>
      </w:r>
      <w:r>
        <w:fldChar w:fldCharType="begin"/>
      </w:r>
      <w:r>
        <w:instrText xml:space="preserve"> HYPERLINK "https://www.planalto.gov.br/ccivil_03/LEIS/L5764.HTM" \h </w:instrText>
      </w:r>
      <w:r>
        <w:fldChar w:fldCharType="separate"/>
      </w:r>
      <w:r>
        <w:rPr>
          <w:rStyle w:val="54"/>
          <w:sz w:val="22"/>
          <w:szCs w:val="22"/>
        </w:rPr>
        <w:t>Lei Federal nº 5.764, de 1971</w:t>
      </w:r>
      <w:r>
        <w:rPr>
          <w:rStyle w:val="54"/>
          <w:sz w:val="22"/>
          <w:szCs w:val="22"/>
        </w:rPr>
        <w:fldChar w:fldCharType="end"/>
      </w:r>
      <w:r>
        <w:rPr>
          <w:color w:val="000000"/>
          <w:sz w:val="22"/>
          <w:szCs w:val="22"/>
        </w:rPr>
        <w:t xml:space="preserve">, a </w:t>
      </w:r>
      <w:r>
        <w:fldChar w:fldCharType="begin"/>
      </w:r>
      <w:r>
        <w:instrText xml:space="preserve"> HYPERLINK "https://www.planalto.gov.br/ccivil_03/_Ato2011-2014/2012/Lei/L12690.htm" \h </w:instrText>
      </w:r>
      <w:r>
        <w:fldChar w:fldCharType="separate"/>
      </w:r>
      <w:r>
        <w:rPr>
          <w:rStyle w:val="54"/>
          <w:sz w:val="22"/>
          <w:szCs w:val="22"/>
        </w:rPr>
        <w:t>Lei Federal nº 12.690, de 2012</w:t>
      </w:r>
      <w:r>
        <w:rPr>
          <w:rStyle w:val="54"/>
          <w:sz w:val="22"/>
          <w:szCs w:val="22"/>
        </w:rPr>
        <w:fldChar w:fldCharType="end"/>
      </w:r>
      <w:r>
        <w:rPr>
          <w:color w:val="000000"/>
          <w:sz w:val="22"/>
          <w:szCs w:val="22"/>
        </w:rPr>
        <w:t xml:space="preserve">, e a </w:t>
      </w:r>
      <w:r>
        <w:fldChar w:fldCharType="begin"/>
      </w:r>
      <w:r>
        <w:instrText xml:space="preserve"> HYPERLINK "https://www.planalto.gov.br/ccivil_03/LEIS/LCP/Lcp130.htm" \h </w:instrText>
      </w:r>
      <w:r>
        <w:fldChar w:fldCharType="separate"/>
      </w:r>
      <w:r>
        <w:rPr>
          <w:rStyle w:val="54"/>
          <w:sz w:val="22"/>
          <w:szCs w:val="22"/>
        </w:rPr>
        <w:t>Lei Complementar Federal nº 130, de 2009;</w:t>
      </w:r>
      <w:r>
        <w:rPr>
          <w:rStyle w:val="54"/>
          <w:sz w:val="22"/>
          <w:szCs w:val="22"/>
        </w:rPr>
        <w:fldChar w:fldCharType="end"/>
      </w:r>
    </w:p>
    <w:p>
      <w:pPr>
        <w:pStyle w:val="3"/>
        <w:numPr>
          <w:ilvl w:val="2"/>
          <w:numId w:val="1"/>
        </w:numPr>
        <w:tabs>
          <w:tab w:val="left" w:pos="1134"/>
        </w:tabs>
        <w:spacing w:before="0" w:beforeAutospacing="0" w:after="0" w:afterAutospacing="0"/>
        <w:jc w:val="both"/>
        <w:textAlignment w:val="baseline"/>
        <w:rPr>
          <w:sz w:val="22"/>
          <w:szCs w:val="22"/>
        </w:rPr>
      </w:pPr>
      <w:r>
        <w:rPr>
          <w:color w:val="000000"/>
          <w:sz w:val="22"/>
          <w:szCs w:val="22"/>
        </w:rPr>
        <w:t>a cooperativa apresentar demonstrativo de atuação em regime cooperado, com repartição de receitas e despesas entre os cooperados;</w:t>
      </w:r>
    </w:p>
    <w:p>
      <w:pPr>
        <w:pStyle w:val="3"/>
        <w:numPr>
          <w:ilvl w:val="2"/>
          <w:numId w:val="1"/>
        </w:numPr>
        <w:tabs>
          <w:tab w:val="left" w:pos="1134"/>
        </w:tabs>
        <w:spacing w:before="0" w:beforeAutospacing="0" w:after="0" w:afterAutospacing="0"/>
        <w:jc w:val="both"/>
        <w:textAlignment w:val="baseline"/>
        <w:rPr>
          <w:sz w:val="22"/>
          <w:szCs w:val="22"/>
        </w:rPr>
      </w:pPr>
      <w:r>
        <w:rPr>
          <w:color w:val="000000"/>
          <w:sz w:val="22"/>
          <w:szCs w:val="22"/>
        </w:rPr>
        <w:t>qualquer cooperado, com igual qualificação, for capaz de executar o objeto contratado, vedado à Administração indicar nominalmente pessoas;</w:t>
      </w:r>
    </w:p>
    <w:p>
      <w:pPr>
        <w:pStyle w:val="3"/>
        <w:numPr>
          <w:ilvl w:val="2"/>
          <w:numId w:val="1"/>
        </w:numPr>
        <w:tabs>
          <w:tab w:val="left" w:pos="1134"/>
        </w:tabs>
        <w:spacing w:before="0" w:beforeAutospacing="0" w:after="0" w:afterAutospacing="0"/>
        <w:jc w:val="both"/>
        <w:textAlignment w:val="baseline"/>
      </w:pPr>
      <w:r>
        <w:rPr>
          <w:color w:val="000000"/>
          <w:sz w:val="22"/>
          <w:szCs w:val="22"/>
        </w:rPr>
        <w:t xml:space="preserve">o objeto da licitação referir-se, em se tratando de cooperativas enquadradas na </w:t>
      </w:r>
      <w:r>
        <w:fldChar w:fldCharType="begin"/>
      </w:r>
      <w:r>
        <w:instrText xml:space="preserve"> HYPERLINK "https://www.planalto.gov.br/ccivil_03/_Ato2011-2014/2012/Lei/L12690.htm" \h </w:instrText>
      </w:r>
      <w:r>
        <w:fldChar w:fldCharType="separate"/>
      </w:r>
      <w:r>
        <w:rPr>
          <w:rStyle w:val="54"/>
          <w:sz w:val="22"/>
          <w:szCs w:val="22"/>
        </w:rPr>
        <w:t>Lei Federal nº 12.690, de 2012</w:t>
      </w:r>
      <w:r>
        <w:rPr>
          <w:rStyle w:val="54"/>
          <w:sz w:val="22"/>
          <w:szCs w:val="22"/>
        </w:rPr>
        <w:fldChar w:fldCharType="end"/>
      </w:r>
      <w:r>
        <w:rPr>
          <w:color w:val="000000"/>
          <w:sz w:val="22"/>
          <w:szCs w:val="22"/>
        </w:rPr>
        <w:t>, a serviços especializados constantes do objeto social da cooperativa, a serem executados de forma complementar à sua atuação.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organizado em cooperativa deverá declarar, ainda, em campo próprio do sistema eletrônico, que cumpre os requisitos estabelecidos no </w:t>
      </w:r>
      <w:r>
        <w:fldChar w:fldCharType="begin"/>
      </w:r>
      <w:r>
        <w:rPr>
          <w:rStyle w:val="54"/>
          <w:sz w:val="22"/>
          <w:szCs w:val="22"/>
        </w:rPr>
        <w:instrText xml:space="preserve"> HYPERLINK "http://www.planalto.gov.br/ccivil_03/_ato2019-2022/2021/lei/L14133.htm" \l "art16"</w:instrText>
      </w:r>
      <w:r>
        <w:rPr>
          <w:rStyle w:val="54"/>
          <w:sz w:val="22"/>
          <w:szCs w:val="22"/>
        </w:rPr>
        <w:fldChar w:fldCharType="separate"/>
      </w:r>
      <w:r>
        <w:rPr>
          <w:rStyle w:val="54"/>
          <w:sz w:val="22"/>
          <w:szCs w:val="22"/>
        </w:rPr>
        <w:t>art. 16 da Lei Federal nº 14.133, de 2021</w:t>
      </w:r>
      <w:r>
        <w:rPr>
          <w:rStyle w:val="54"/>
          <w:sz w:val="22"/>
          <w:szCs w:val="22"/>
        </w:rPr>
        <w:fldChar w:fldCharType="end"/>
      </w:r>
      <w:r>
        <w:rPr>
          <w:sz w:val="22"/>
          <w:szCs w:val="22"/>
        </w:rPr>
        <w:t>.</w:t>
      </w:r>
    </w:p>
    <w:p>
      <w:pPr>
        <w:pStyle w:val="2"/>
        <w:spacing w:before="360" w:after="0"/>
      </w:pPr>
      <w:bookmarkStart w:id="11" w:name="_Toc149517435"/>
      <w:r>
        <w:rPr>
          <w:rStyle w:val="45"/>
          <w:sz w:val="22"/>
          <w:szCs w:val="22"/>
        </w:rPr>
        <w:t>IMPUGNAÇÃO E ESCLARECIMENTOS</w:t>
      </w:r>
      <w:bookmarkEnd w:id="11"/>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themeColor="text1"/>
          <w:sz w:val="22"/>
          <w:szCs w:val="22"/>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rStyle w:val="54"/>
          <w:sz w:val="22"/>
          <w:szCs w:val="22"/>
        </w:rPr>
        <w:instrText xml:space="preserve"> HYPERLINK "https://www.planalto.gov.br/ccivil_03/_ato2019-2022/2021/lei/l14133.htm" \l "art164"</w:instrText>
      </w:r>
      <w:r>
        <w:rPr>
          <w:rStyle w:val="54"/>
          <w:sz w:val="22"/>
          <w:szCs w:val="22"/>
        </w:rPr>
        <w:fldChar w:fldCharType="separate"/>
      </w:r>
      <w:r>
        <w:rPr>
          <w:rStyle w:val="54"/>
          <w:sz w:val="22"/>
          <w:szCs w:val="22"/>
        </w:rPr>
        <w:t xml:space="preserve">art. 164, </w:t>
      </w:r>
      <w:r>
        <w:rPr>
          <w:rStyle w:val="54"/>
          <w:sz w:val="22"/>
          <w:szCs w:val="22"/>
        </w:rPr>
        <w:fldChar w:fldCharType="end"/>
      </w:r>
      <w:r>
        <w:rPr>
          <w:rStyle w:val="54"/>
          <w:i/>
          <w:iCs/>
          <w:sz w:val="22"/>
          <w:szCs w:val="22"/>
        </w:rPr>
        <w:t>caput</w:t>
      </w:r>
      <w:r>
        <w:rPr>
          <w:rStyle w:val="54"/>
          <w:sz w:val="22"/>
          <w:szCs w:val="22"/>
        </w:rPr>
        <w:t>, da Lei Federal nº 14.133, de 2021</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5"/>
          <w:color w:val="000000" w:themeColor="text1"/>
          <w:sz w:val="22"/>
          <w:szCs w:val="22"/>
        </w:rPr>
        <w:t>impugnações</w:t>
      </w:r>
      <w:r>
        <w:rPr>
          <w:color w:val="000000"/>
          <w:sz w:val="22"/>
          <w:szCs w:val="22"/>
        </w:rPr>
        <w:t xml:space="preserve"> e os esclarecimentos deverão ser encaminhados exclusivamente de forma eletrônica pelo envio de mensagem eletrônica para o endereço: </w:t>
      </w:r>
      <w:r>
        <w:fldChar w:fldCharType="begin"/>
      </w:r>
      <w:r>
        <w:instrText xml:space="preserve"> HYPERLINK "mailto:licitacao@primaveradoleste.mt.leg.br" \h </w:instrText>
      </w:r>
      <w:r>
        <w:fldChar w:fldCharType="separate"/>
      </w:r>
      <w:r>
        <w:rPr>
          <w:rStyle w:val="54"/>
          <w:sz w:val="22"/>
          <w:szCs w:val="22"/>
        </w:rPr>
        <w:t>licitacao@primaveradoleste.mt.leg.br</w:t>
      </w:r>
      <w:r>
        <w:rPr>
          <w:rStyle w:val="54"/>
          <w:sz w:val="22"/>
          <w:szCs w:val="22"/>
        </w:rPr>
        <w:fldChar w:fldCharType="end"/>
      </w:r>
      <w:r>
        <w:rPr>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5"/>
          <w:color w:val="000000" w:themeColor="text1"/>
          <w:sz w:val="22"/>
          <w:szCs w:val="22"/>
        </w:rPr>
        <w:t>impugnações</w:t>
      </w:r>
      <w:r>
        <w:rPr>
          <w:color w:val="000000"/>
          <w:sz w:val="22"/>
          <w:szCs w:val="22"/>
        </w:rPr>
        <w:t xml:space="preserve"> e pedidos de esclarecimentos não suspendem e nem interrompem os prazos previstos no certame licitatório.</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A concessão de efeito suspensivo à impugnação é medida excepcional e deverá ser motivada pelo(a) Pregoeiro, nos autos do processo de licitação.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45"/>
          <w:color w:val="000000" w:themeColor="text1"/>
          <w:sz w:val="22"/>
          <w:szCs w:val="22"/>
        </w:rPr>
        <w:t>oficial</w:t>
      </w:r>
      <w:r>
        <w:rPr>
          <w:color w:val="000000"/>
          <w:sz w:val="22"/>
          <w:szCs w:val="22"/>
        </w:rPr>
        <w:t xml:space="preserve"> da </w:t>
      </w:r>
      <w:r>
        <w:rPr>
          <w:rStyle w:val="45"/>
          <w:color w:val="000000"/>
          <w:sz w:val="22"/>
          <w:szCs w:val="22"/>
        </w:rPr>
        <w:t>Câmara Municipal de Primavera do Leste – MT</w:t>
      </w:r>
      <w:r>
        <w:rPr>
          <w:sz w:val="22"/>
          <w:szCs w:val="22"/>
        </w:rPr>
        <w:t xml:space="preserve">, disponível no endereço eletrônico: </w:t>
      </w:r>
      <w:r>
        <w:fldChar w:fldCharType="begin"/>
      </w:r>
      <w:r>
        <w:instrText xml:space="preserve"> HYPERLINK "https://www.primaveradoleste.mt.leg.br/" \h </w:instrText>
      </w:r>
      <w:r>
        <w:fldChar w:fldCharType="separate"/>
      </w:r>
      <w:r>
        <w:rPr>
          <w:rStyle w:val="54"/>
          <w:sz w:val="22"/>
          <w:szCs w:val="22"/>
        </w:rPr>
        <w:t>https://www.primaveradoleste.mt.leg.br/</w:t>
      </w:r>
      <w:r>
        <w:rPr>
          <w:rStyle w:val="54"/>
          <w:sz w:val="22"/>
          <w:szCs w:val="22"/>
        </w:rPr>
        <w:fldChar w:fldCharType="end"/>
      </w:r>
      <w:r>
        <w:rPr>
          <w:sz w:val="22"/>
          <w:szCs w:val="22"/>
        </w:rPr>
        <w:t xml:space="preserve"> </w:t>
      </w:r>
      <w:r>
        <w:rPr>
          <w:color w:val="000000"/>
          <w:sz w:val="22"/>
          <w:szCs w:val="22"/>
        </w:rPr>
        <w:t>(</w:t>
      </w:r>
      <w:r>
        <w:fldChar w:fldCharType="begin"/>
      </w:r>
      <w:r>
        <w:rPr>
          <w:rStyle w:val="54"/>
          <w:sz w:val="22"/>
          <w:szCs w:val="22"/>
        </w:rPr>
        <w:instrText xml:space="preserve"> HYPERLINK "https://www.planalto.gov.br/ccivil_03/_ato2019-2022/2021/lei/l14133.htm" \l "art164"</w:instrText>
      </w:r>
      <w:r>
        <w:rPr>
          <w:rStyle w:val="54"/>
          <w:sz w:val="22"/>
          <w:szCs w:val="22"/>
        </w:rPr>
        <w:fldChar w:fldCharType="separate"/>
      </w:r>
      <w:r>
        <w:rPr>
          <w:rStyle w:val="54"/>
          <w:sz w:val="22"/>
          <w:szCs w:val="22"/>
        </w:rPr>
        <w:t>art. 164, parágrafo único, da Lei Federal nº 14.133, de 2021</w:t>
      </w:r>
      <w:r>
        <w:rPr>
          <w:rStyle w:val="54"/>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rStyle w:val="54"/>
          <w:sz w:val="22"/>
          <w:szCs w:val="22"/>
        </w:rPr>
        <w:instrText xml:space="preserve"> HYPERLINK "https://www.planalto.gov.br/ccivil_03/_ato2019-2022/2021/lei/l14133.htm" \l "art55"</w:instrText>
      </w:r>
      <w:r>
        <w:rPr>
          <w:rStyle w:val="54"/>
          <w:sz w:val="22"/>
          <w:szCs w:val="22"/>
        </w:rPr>
        <w:fldChar w:fldCharType="separate"/>
      </w:r>
      <w:r>
        <w:rPr>
          <w:rStyle w:val="54"/>
          <w:sz w:val="22"/>
          <w:szCs w:val="22"/>
        </w:rPr>
        <w:t>art. 55, § 1º, da Lei Federal nº 14.133, de 2021</w:t>
      </w:r>
      <w:r>
        <w:rPr>
          <w:rStyle w:val="54"/>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4"/>
          <w:sz w:val="22"/>
          <w:szCs w:val="22"/>
        </w:rPr>
        <w:t>Súmula nº 473 do STF</w:t>
      </w:r>
      <w:r>
        <w:rPr>
          <w:rStyle w:val="54"/>
          <w:sz w:val="22"/>
          <w:szCs w:val="22"/>
        </w:rPr>
        <w:fldChar w:fldCharType="end"/>
      </w:r>
      <w:r>
        <w:rPr>
          <w:color w:val="000000"/>
          <w:sz w:val="22"/>
          <w:szCs w:val="22"/>
        </w:rPr>
        <w:t xml:space="preserve"> e </w:t>
      </w:r>
      <w:r>
        <w:fldChar w:fldCharType="begin"/>
      </w:r>
      <w:r>
        <w:rPr>
          <w:rStyle w:val="54"/>
          <w:sz w:val="22"/>
          <w:szCs w:val="22"/>
        </w:rPr>
        <w:instrText xml:space="preserve"> HYPERLINK "https://www.planalto.gov.br/ccivil_03/_ato2019-2022/2021/lei/l14133.htm" \l "art71"</w:instrText>
      </w:r>
      <w:r>
        <w:rPr>
          <w:rStyle w:val="54"/>
          <w:sz w:val="22"/>
          <w:szCs w:val="22"/>
        </w:rPr>
        <w:fldChar w:fldCharType="separate"/>
      </w:r>
      <w:r>
        <w:rPr>
          <w:rStyle w:val="54"/>
          <w:sz w:val="22"/>
          <w:szCs w:val="22"/>
        </w:rPr>
        <w:t>art. 71, § 3º, da Lei Federal nº 14.133, de 2021</w:t>
      </w:r>
      <w:r>
        <w:rPr>
          <w:rStyle w:val="54"/>
          <w:sz w:val="22"/>
          <w:szCs w:val="22"/>
        </w:rPr>
        <w:fldChar w:fldCharType="end"/>
      </w:r>
      <w:r>
        <w:rPr>
          <w:color w:val="000000"/>
          <w:sz w:val="22"/>
          <w:szCs w:val="22"/>
        </w:rPr>
        <w:t>).</w:t>
      </w:r>
    </w:p>
    <w:p>
      <w:pPr>
        <w:pStyle w:val="2"/>
        <w:spacing w:before="360" w:after="0"/>
      </w:pPr>
      <w:bookmarkStart w:id="12" w:name="_CREDENCIAMENTO"/>
      <w:bookmarkEnd w:id="12"/>
      <w:bookmarkStart w:id="13" w:name="_Toc149517436"/>
      <w:r>
        <w:rPr>
          <w:rStyle w:val="45"/>
          <w:sz w:val="22"/>
          <w:szCs w:val="22"/>
        </w:rPr>
        <w:t>CREDENCIAMENTO</w:t>
      </w:r>
      <w:bookmarkEnd w:id="13"/>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As empresas licitantes interessadas deverão proceder ao credenciamento antes da data marcada para início da Sessão Pública via internet.</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participação do licitante no </w:t>
      </w:r>
      <w:r>
        <w:rPr>
          <w:rStyle w:val="45"/>
          <w:color w:val="000000" w:themeColor="text1"/>
          <w:sz w:val="22"/>
          <w:szCs w:val="22"/>
        </w:rPr>
        <w:t>Pregão</w:t>
      </w:r>
      <w:r>
        <w:rPr>
          <w:rStyle w:val="45"/>
          <w:color w:val="000000"/>
          <w:sz w:val="22"/>
          <w:szCs w:val="22"/>
        </w:rPr>
        <w:t xml:space="preserve"> se dará exclusivamente através de </w:t>
      </w:r>
      <w:r>
        <w:rPr>
          <w:rStyle w:val="45"/>
          <w:i/>
          <w:iCs/>
          <w:color w:val="000000"/>
          <w:sz w:val="22"/>
          <w:szCs w:val="22"/>
        </w:rPr>
        <w:t>Home Broker</w:t>
      </w:r>
      <w:r>
        <w:rPr>
          <w:rStyle w:val="45"/>
          <w:color w:val="000000"/>
          <w:sz w:val="22"/>
          <w:szCs w:val="22"/>
        </w:rPr>
        <w:t>, o qual deverá manifestar em campo próprio da plataforma Eletrônica, pleno conhecimento, aceitação e atendimento às exigências de habilitação previstas no Edital.</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credenciamento dar-se-á pela atribuição de chave de identificação e de senha, pessoal e intransferível, para acesso ao 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xml:space="preserve">, </w:t>
      </w:r>
      <w:r>
        <w:rPr>
          <w:rStyle w:val="45"/>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O acesso do licitante ao </w:t>
      </w:r>
      <w:r>
        <w:rPr>
          <w:rStyle w:val="45"/>
          <w:color w:val="000000" w:themeColor="text1"/>
          <w:sz w:val="22"/>
          <w:szCs w:val="22"/>
        </w:rPr>
        <w:t>Pregão</w:t>
      </w:r>
      <w:r>
        <w:rPr>
          <w:rStyle w:val="45"/>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É de exclusiva responsabilidade do licitante o sigilo da senha, bem como seu uso em qualquer transação efetuada, não cabendo ao </w:t>
      </w:r>
      <w:r>
        <w:rPr>
          <w:sz w:val="22"/>
          <w:szCs w:val="22"/>
        </w:rPr>
        <w:t>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xml:space="preserve">) e à </w:t>
      </w:r>
      <w:r>
        <w:rPr>
          <w:rStyle w:val="45"/>
          <w:color w:val="000000" w:themeColor="text1"/>
          <w:sz w:val="22"/>
          <w:szCs w:val="22"/>
        </w:rPr>
        <w:t>Câmara Municipal de Primavera do Leste - MT</w:t>
      </w:r>
      <w:r>
        <w:rPr>
          <w:rStyle w:val="45"/>
          <w:color w:val="000000"/>
          <w:sz w:val="22"/>
          <w:szCs w:val="22"/>
        </w:rPr>
        <w:t xml:space="preserve"> a responsabilidade por eventuais danos decorrentes de uso indevido da senha, ainda que por terceiros.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O cadastramento do licitante junto a plataforma onde ocorrerá a disputa no presente </w:t>
      </w:r>
      <w:r>
        <w:rPr>
          <w:rStyle w:val="45"/>
          <w:color w:val="000000" w:themeColor="text1"/>
          <w:sz w:val="22"/>
          <w:szCs w:val="22"/>
        </w:rPr>
        <w:t>Pregão</w:t>
      </w:r>
      <w:r>
        <w:rPr>
          <w:rStyle w:val="45"/>
          <w:color w:val="000000"/>
          <w:sz w:val="22"/>
          <w:szCs w:val="22"/>
        </w:rPr>
        <w:t xml:space="preserve"> implica a responsabilidade legal pelos atos praticados e a presunção de capacidade técnica para realização das transações inerentes ao certame.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As microempresas ou as empresas de pequeno porte no momento de seu cadastro deverão manifestar em campo próprio do Sistema Eletrônico o estabelecido na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não declaração, no momento do credenciamento, da licitante em referência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rStyle w:val="45"/>
          <w:color w:val="000000"/>
          <w:sz w:val="22"/>
          <w:szCs w:val="22"/>
        </w:rPr>
        <w:t>, caso se enquadre, implicará o IMPEDIMENTO DA LICITANTE EM BENEFICIAR-SE DA CONDIÇÃO DE MICROEMPRESA (ME) OU EMPRESA DE PEQUENO PORTE (EPP).</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rStyle w:val="54"/>
          <w:sz w:val="22"/>
          <w:szCs w:val="22"/>
        </w:rPr>
        <w:instrText xml:space="preserve"> HYPERLINK "https://www.planalto.gov.br/ccivil_03/_ato2019-2022/2021/lei/l14133.htm" \l "art155"</w:instrText>
      </w:r>
      <w:r>
        <w:rPr>
          <w:rStyle w:val="54"/>
          <w:sz w:val="22"/>
          <w:szCs w:val="22"/>
        </w:rPr>
        <w:fldChar w:fldCharType="separate"/>
      </w:r>
      <w:r>
        <w:rPr>
          <w:rStyle w:val="54"/>
          <w:sz w:val="22"/>
          <w:szCs w:val="22"/>
        </w:rPr>
        <w:t>art. 155, VIII, da Lei Federal nº 14.133, de 2021</w:t>
      </w:r>
      <w:r>
        <w:rPr>
          <w:rStyle w:val="54"/>
          <w:sz w:val="22"/>
          <w:szCs w:val="22"/>
        </w:rPr>
        <w:fldChar w:fldCharType="end"/>
      </w:r>
      <w:r>
        <w:rPr>
          <w:rStyle w:val="45"/>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 perda da senha ou a quebra de sigilo deverá ser comunicada ao provedor do sistema para imediato bloqueio de acesso.</w:t>
      </w:r>
    </w:p>
    <w:p>
      <w:pPr>
        <w:pStyle w:val="2"/>
        <w:spacing w:before="360" w:after="0"/>
      </w:pPr>
      <w:bookmarkStart w:id="14" w:name="_Toc149517437"/>
      <w:r>
        <w:rPr>
          <w:rStyle w:val="45"/>
          <w:sz w:val="22"/>
          <w:szCs w:val="22"/>
        </w:rPr>
        <w:t>CADASTRAMENTO DA PROPOSTA</w:t>
      </w:r>
      <w:bookmarkEnd w:id="14"/>
      <w:r>
        <w:rPr>
          <w:rStyle w:val="45"/>
          <w:sz w:val="22"/>
          <w:szCs w:val="22"/>
        </w:rPr>
        <w:t xml:space="preserve">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O cadastramento de proposta(s)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na forma estabelecida no item “</w:t>
      </w:r>
      <w:r>
        <w:fldChar w:fldCharType="begin"/>
      </w:r>
      <w:r>
        <w:instrText xml:space="preserve"> HYPERLINK \l "_CREDENCIAMENTO" \h </w:instrText>
      </w:r>
      <w:r>
        <w:fldChar w:fldCharType="separate"/>
      </w:r>
      <w:r>
        <w:rPr>
          <w:rStyle w:val="54"/>
          <w:sz w:val="22"/>
          <w:szCs w:val="22"/>
        </w:rPr>
        <w:t>13 - CREDENCIAMENTO</w:t>
      </w:r>
      <w:r>
        <w:rPr>
          <w:rStyle w:val="54"/>
          <w:sz w:val="22"/>
          <w:szCs w:val="22"/>
        </w:rPr>
        <w:fldChar w:fldCharType="end"/>
      </w:r>
      <w:r>
        <w:rPr>
          <w:rStyle w:val="45"/>
          <w:color w:val="000000"/>
          <w:sz w:val="22"/>
          <w:szCs w:val="22"/>
        </w:rPr>
        <w:t>” deste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fldChar w:fldCharType="begin"/>
      </w:r>
      <w:r>
        <w:instrText xml:space="preserve"> HYPERLINK \l "_DATA_E_HORÁRIO" \h </w:instrText>
      </w:r>
      <w:r>
        <w:fldChar w:fldCharType="separate"/>
      </w:r>
      <w:r>
        <w:rPr>
          <w:rStyle w:val="54"/>
          <w:sz w:val="22"/>
          <w:szCs w:val="22"/>
        </w:rPr>
        <w:t>4 - DATA E HORÁRIO</w:t>
      </w:r>
      <w:r>
        <w:rPr>
          <w:rStyle w:val="54"/>
          <w:sz w:val="22"/>
          <w:szCs w:val="22"/>
        </w:rPr>
        <w:fldChar w:fldCharType="end"/>
      </w:r>
      <w:r>
        <w:rPr>
          <w:sz w:val="22"/>
          <w:szCs w:val="22"/>
        </w:rPr>
        <w:t>”</w:t>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 registro de proposta eletrônica vinculada ao presente certame implica, independente de expressa declaração, na(o):</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Aceitação de todas as condições estabelecidas neste Edital e seus Anexos;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garantia do cumprimento da proposta por prazo mínimo de 90 (noventa) dias, contados da data de abertura da sessão pública;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compromisso do licitante para com o rigoroso cumprimento das especificações técnicas, prazos e condições fixadas no Termo de Referência (Anexo I);</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Submissão às sanções administrativas previstas neste Edital e seus Anexos;</w:t>
      </w:r>
    </w:p>
    <w:p>
      <w:pPr>
        <w:pStyle w:val="3"/>
        <w:numPr>
          <w:ilvl w:val="2"/>
          <w:numId w:val="1"/>
        </w:numPr>
        <w:tabs>
          <w:tab w:val="left" w:pos="1134"/>
        </w:tabs>
        <w:spacing w:before="0" w:beforeAutospacing="0" w:after="0" w:afterAutospacing="0"/>
        <w:jc w:val="both"/>
        <w:textAlignment w:val="baseline"/>
      </w:pPr>
      <w:r>
        <w:rPr>
          <w:rStyle w:val="45"/>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Os lances serão de envio automático pelo sistema, que respeitará o preço final mínimo, bem como o intervalo de que trata o item anterior.</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O preço final mínimo poderá ser alterado pela licitante durante a fase de lances, porém, não poderá ser superior a lance já registrado por ela no sistema.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Até a abertura da sessão, as licitantes poderão retirar ou substituir suas propostas anteriormente apresentadas. </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Todas as especificações do objeto contidas na proposta vinculam o fornecedor registrado.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fldChar w:fldCharType="begin"/>
      </w:r>
      <w:r>
        <w:instrText xml:space="preserve"> HYPERLINK "https://www.planalto.gov.br/ccivil_03/leis/l8078compilado.htm" \h </w:instrText>
      </w:r>
      <w:r>
        <w:fldChar w:fldCharType="separate"/>
      </w:r>
      <w:r>
        <w:rPr>
          <w:rStyle w:val="54"/>
          <w:sz w:val="22"/>
          <w:szCs w:val="22"/>
        </w:rPr>
        <w:t>Lei Federal nº 8.078, de 1990</w:t>
      </w:r>
      <w:r>
        <w:rPr>
          <w:rStyle w:val="54"/>
          <w:sz w:val="22"/>
          <w:szCs w:val="22"/>
        </w:rPr>
        <w:fldChar w:fldCharType="end"/>
      </w:r>
      <w:r>
        <w:rPr>
          <w:rStyle w:val="45"/>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Nenhuma indenização será devida aos licitantes pela elaboração ou apresentação de propostas relativas a presente licitação.</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Após a abertura da sessão pública eletrônica do presente certame não cabe, em nenhuma hipótese, desistência de proposta.</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 xml:space="preserve">Nenhuma proposta ou documentação de habilitação poderá ser encaminhada ao(à) </w:t>
      </w:r>
      <w:r>
        <w:rPr>
          <w:sz w:val="22"/>
          <w:szCs w:val="22"/>
        </w:rPr>
        <w:t>Pregoeiro</w:t>
      </w:r>
      <w:r>
        <w:rPr>
          <w:rStyle w:val="45"/>
          <w:color w:val="000000"/>
          <w:sz w:val="22"/>
          <w:szCs w:val="22"/>
        </w:rPr>
        <w:t xml:space="preserve"> por e-mail ou outro meio de comunicação antes do encerramento da etapa competitiva, sob pena de quebra do anonimato da competição e, consequentemente, desclassificação da proposta.</w:t>
      </w:r>
    </w:p>
    <w:p>
      <w:pPr>
        <w:pStyle w:val="2"/>
        <w:spacing w:before="360" w:after="0"/>
      </w:pPr>
      <w:bookmarkStart w:id="15" w:name="_Toc149517438"/>
      <w:r>
        <w:rPr>
          <w:rStyle w:val="45"/>
          <w:sz w:val="22"/>
          <w:szCs w:val="22"/>
        </w:rPr>
        <w:t>CADASTRAMENTO DOS DOCUMENTOS DE HABILITAÇÃO</w:t>
      </w:r>
      <w:bookmarkEnd w:id="15"/>
      <w:r>
        <w:rPr>
          <w:rStyle w:val="45"/>
          <w:sz w:val="22"/>
          <w:szCs w:val="22"/>
        </w:rPr>
        <w:t xml:space="preserve"> </w:t>
      </w:r>
    </w:p>
    <w:p>
      <w:pPr>
        <w:pStyle w:val="3"/>
        <w:numPr>
          <w:ilvl w:val="1"/>
          <w:numId w:val="1"/>
        </w:numPr>
        <w:tabs>
          <w:tab w:val="left" w:pos="1134"/>
        </w:tabs>
        <w:spacing w:before="120" w:beforeAutospacing="0" w:after="0" w:afterAutospacing="0"/>
        <w:ind w:left="0" w:firstLine="567"/>
        <w:jc w:val="both"/>
        <w:textAlignment w:val="baseline"/>
      </w:pPr>
      <w:r>
        <w:rPr>
          <w:rStyle w:val="45"/>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rStyle w:val="45"/>
          <w:color w:val="000000"/>
          <w:sz w:val="22"/>
          <w:szCs w:val="22"/>
        </w:rPr>
        <w:t>, na forma estabelecida no item “</w:t>
      </w:r>
      <w:r>
        <w:fldChar w:fldCharType="begin"/>
      </w:r>
      <w:r>
        <w:instrText xml:space="preserve"> HYPERLINK \l "_CREDENCIAMENTO" \h </w:instrText>
      </w:r>
      <w:r>
        <w:fldChar w:fldCharType="separate"/>
      </w:r>
      <w:r>
        <w:rPr>
          <w:rStyle w:val="54"/>
          <w:sz w:val="22"/>
          <w:szCs w:val="22"/>
        </w:rPr>
        <w:t>13 – CREDENCIAMENTO</w:t>
      </w:r>
      <w:r>
        <w:rPr>
          <w:rStyle w:val="54"/>
          <w:sz w:val="22"/>
          <w:szCs w:val="22"/>
        </w:rPr>
        <w:fldChar w:fldCharType="end"/>
      </w:r>
      <w:r>
        <w:rPr>
          <w:rStyle w:val="45"/>
          <w:color w:val="000000"/>
          <w:sz w:val="22"/>
          <w:szCs w:val="22"/>
        </w:rPr>
        <w:t>” deste Edital.</w:t>
      </w:r>
    </w:p>
    <w:p>
      <w:pPr>
        <w:pStyle w:val="3"/>
        <w:numPr>
          <w:ilvl w:val="1"/>
          <w:numId w:val="1"/>
        </w:numPr>
        <w:tabs>
          <w:tab w:val="left" w:pos="1134"/>
        </w:tabs>
        <w:spacing w:before="0" w:beforeAutospacing="0" w:after="0" w:afterAutospacing="0"/>
        <w:ind w:left="0" w:firstLine="567"/>
        <w:jc w:val="both"/>
        <w:textAlignment w:val="baseline"/>
      </w:pPr>
      <w:r>
        <w:rPr>
          <w:rStyle w:val="45"/>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fldChar w:fldCharType="begin"/>
      </w:r>
      <w:r>
        <w:rPr>
          <w:rStyle w:val="54"/>
          <w:rFonts w:eastAsia="Calibri"/>
          <w:sz w:val="22"/>
          <w:szCs w:val="22"/>
          <w:lang w:eastAsia="en-US"/>
        </w:rPr>
        <w:instrText xml:space="preserve"> HYPERLINK "https://www.planalto.gov.br/ccivil_03/leis/lcp/lcp123.htm" \l "art43"</w:instrText>
      </w:r>
      <w:r>
        <w:rPr>
          <w:rStyle w:val="54"/>
          <w:rFonts w:eastAsia="Calibri"/>
          <w:sz w:val="22"/>
          <w:szCs w:val="22"/>
          <w:lang w:eastAsia="en-US"/>
        </w:rPr>
        <w:fldChar w:fldCharType="separate"/>
      </w:r>
      <w:r>
        <w:rPr>
          <w:rStyle w:val="54"/>
          <w:rFonts w:eastAsiaTheme="minorHAnsi"/>
          <w:sz w:val="22"/>
          <w:szCs w:val="22"/>
          <w:lang w:eastAsia="en-US"/>
        </w:rPr>
        <w:t>art. 43, § 1º, da Lei Complementar Federal nº 123, de 2006</w:t>
      </w:r>
      <w:r>
        <w:rPr>
          <w:rStyle w:val="54"/>
          <w:rFonts w:eastAsia="Calibri"/>
          <w:sz w:val="22"/>
          <w:szCs w:val="22"/>
          <w:lang w:eastAsia="en-US"/>
        </w:rPr>
        <w:fldChar w:fldCharType="end"/>
      </w:r>
      <w:r>
        <w:rPr>
          <w:rFonts w:eastAsiaTheme="minorHAnsi"/>
          <w:sz w:val="22"/>
          <w:szCs w:val="22"/>
          <w:lang w:eastAsia="en-US"/>
        </w:rPr>
        <w:t>.</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pPr>
        <w:pStyle w:val="3"/>
        <w:numPr>
          <w:ilvl w:val="0"/>
          <w:numId w:val="0"/>
        </w:numPr>
        <w:tabs>
          <w:tab w:val="left" w:pos="1134"/>
        </w:tabs>
        <w:spacing w:before="0" w:beforeAutospacing="0" w:after="0" w:afterAutospacing="0"/>
        <w:ind w:left="567" w:firstLine="0"/>
        <w:jc w:val="both"/>
        <w:textAlignment w:val="baseline"/>
        <w:rPr>
          <w:sz w:val="22"/>
          <w:szCs w:val="22"/>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5"/>
          <w:b/>
          <w:bCs/>
          <w:sz w:val="22"/>
          <w:szCs w:val="22"/>
        </w:rPr>
        <w:t>ABERTURA DA SESSÃO </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Na data e horário previstos no item “</w:t>
      </w:r>
      <w:r>
        <w:fldChar w:fldCharType="begin"/>
      </w:r>
      <w:r>
        <w:instrText xml:space="preserve"> HYPERLINK \l "_DATA_E_HORÁRIO" \h </w:instrText>
      </w:r>
      <w:r>
        <w:fldChar w:fldCharType="separate"/>
      </w:r>
      <w:r>
        <w:rPr>
          <w:rStyle w:val="54"/>
          <w:sz w:val="22"/>
          <w:szCs w:val="22"/>
        </w:rPr>
        <w:t>4 - DATA E HORÁRIO</w:t>
      </w:r>
      <w:r>
        <w:rPr>
          <w:rStyle w:val="54"/>
          <w:sz w:val="22"/>
          <w:szCs w:val="22"/>
        </w:rPr>
        <w:fldChar w:fldCharType="end"/>
      </w:r>
      <w:r>
        <w:rPr>
          <w:color w:val="000000"/>
          <w:sz w:val="22"/>
          <w:szCs w:val="22"/>
        </w:rPr>
        <w:t>” deste Edital, a sessão pública na internet será aberta automaticamente pelo sistema.</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A verificação da conformidade da proposta será feita exclusivamente na fase de julgamento das propostas e em relação à proposta mais bem classificada.</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2"/>
        <w:spacing w:before="360" w:after="0"/>
      </w:pPr>
      <w:bookmarkStart w:id="16" w:name="_Toc149517439"/>
      <w:r>
        <w:rPr>
          <w:rStyle w:val="45"/>
          <w:sz w:val="22"/>
          <w:szCs w:val="22"/>
        </w:rPr>
        <w:t>FORMULAÇÃO DE LANCES</w:t>
      </w:r>
      <w:bookmarkEnd w:id="16"/>
      <w:r>
        <w:rPr>
          <w:rStyle w:val="45"/>
          <w:sz w:val="22"/>
          <w:szCs w:val="22"/>
        </w:rPr>
        <w:t> </w:t>
      </w:r>
    </w:p>
    <w:p>
      <w:pPr>
        <w:pStyle w:val="3"/>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Os lances serão ofertados pelo valor unitário/total do item/lote único.</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As licitantes poderão oferecer lances sucessivos, observados o horário fixado para a abertura da sessão pública e as regras estabelecidas neste Edital. </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Caso o licitante não apresente lances, concorrerá com o valor de sua proposta.</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Durante o transcurso da sessão pública, os licitantes serão informados, em tempo real, do valor do menor lance registrado, vedada a identificação do licitante.</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rStyle w:val="54"/>
          <w:sz w:val="22"/>
          <w:szCs w:val="22"/>
        </w:rPr>
        <w:instrText xml:space="preserve"> HYPERLINK "https://www.planalto.gov.br/ccivil_03/_ato2019-2022/2021/lei/l14133.htm" \l "art56"</w:instrText>
      </w:r>
      <w:r>
        <w:rPr>
          <w:rStyle w:val="54"/>
          <w:sz w:val="22"/>
          <w:szCs w:val="22"/>
        </w:rPr>
        <w:fldChar w:fldCharType="separate"/>
      </w:r>
      <w:r>
        <w:rPr>
          <w:rStyle w:val="54"/>
          <w:sz w:val="22"/>
          <w:szCs w:val="22"/>
        </w:rPr>
        <w:t>art. 56, §3º, II, da Lei Federal nº 14.133, de 2021</w:t>
      </w:r>
      <w:r>
        <w:rPr>
          <w:rStyle w:val="54"/>
          <w:sz w:val="22"/>
          <w:szCs w:val="22"/>
        </w:rPr>
        <w:fldChar w:fldCharType="end"/>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3"/>
        <w:numPr>
          <w:ilvl w:val="1"/>
          <w:numId w:val="1"/>
        </w:numPr>
        <w:tabs>
          <w:tab w:val="left" w:pos="1134"/>
        </w:tabs>
        <w:spacing w:before="0" w:beforeAutospacing="0" w:after="0" w:afterAutospacing="0"/>
        <w:ind w:left="0" w:firstLine="567"/>
        <w:jc w:val="both"/>
        <w:textAlignment w:val="baseline"/>
      </w:pPr>
      <w:r>
        <w:rPr>
          <w:b/>
          <w:bCs/>
          <w:color w:val="000000"/>
          <w:sz w:val="22"/>
          <w:szCs w:val="22"/>
        </w:rPr>
        <w:t xml:space="preserve">Será adotado para o envio de lances neste </w:t>
      </w:r>
      <w:r>
        <w:rPr>
          <w:rStyle w:val="45"/>
          <w:b/>
          <w:bCs/>
          <w:color w:val="000000" w:themeColor="text1"/>
          <w:sz w:val="22"/>
          <w:szCs w:val="22"/>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3"/>
        <w:numPr>
          <w:ilvl w:val="1"/>
          <w:numId w:val="1"/>
        </w:numPr>
        <w:tabs>
          <w:tab w:val="left" w:pos="1134"/>
        </w:tabs>
        <w:spacing w:before="0" w:beforeAutospacing="0" w:after="0" w:afterAutospacing="0"/>
        <w:ind w:left="0" w:firstLine="567"/>
        <w:jc w:val="both"/>
        <w:textAlignment w:val="baseline"/>
        <w:rPr>
          <w:color w:val="000000"/>
          <w:sz w:val="22"/>
          <w:szCs w:val="22"/>
          <w:highlight w:val="none"/>
          <w:shd w:val="clear" w:fill="auto"/>
          <w:lang w:val="pt-BR"/>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3"/>
        <w:numPr>
          <w:ilvl w:val="1"/>
          <w:numId w:val="1"/>
        </w:numPr>
        <w:tabs>
          <w:tab w:val="left" w:pos="1134"/>
        </w:tabs>
        <w:spacing w:before="0" w:beforeAutospacing="0" w:after="0" w:afterAutospacing="0"/>
        <w:ind w:left="0" w:firstLine="567"/>
        <w:jc w:val="both"/>
        <w:textAlignment w:val="baseline"/>
        <w:rPr>
          <w:highlight w:val="none"/>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rPr>
          <w:highlight w:val="none"/>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3"/>
        <w:numPr>
          <w:ilvl w:val="1"/>
          <w:numId w:val="1"/>
        </w:numPr>
        <w:tabs>
          <w:tab w:val="left" w:pos="1134"/>
        </w:tabs>
        <w:spacing w:before="0" w:beforeAutospacing="0" w:after="0" w:afterAutospacing="0"/>
        <w:ind w:left="0" w:firstLine="567"/>
        <w:jc w:val="both"/>
        <w:textAlignment w:val="baseline"/>
      </w:pPr>
      <w:r>
        <w:rPr>
          <w:lang w:val="pt-BR"/>
        </w:rPr>
        <w:t>Na hipótese de não haver novos lances nos termos do subitem 15.12. a disputa será encerrada automaticamente.</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Após o término dos prazos estabelecidos nos itens anteriores, o sistema ordenará os lances segundo a ordem crescente de valores.</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licitantes serão informadas, em tempo real, do valor do melhor lance registrado, durante a sessão pública do </w:t>
      </w:r>
      <w:r>
        <w:rPr>
          <w:rStyle w:val="45"/>
          <w:color w:val="000000" w:themeColor="text1"/>
          <w:sz w:val="22"/>
          <w:szCs w:val="22"/>
        </w:rPr>
        <w:t>Pregão</w:t>
      </w:r>
      <w:r>
        <w:rPr>
          <w:color w:val="000000"/>
          <w:sz w:val="22"/>
          <w:szCs w:val="22"/>
        </w:rPr>
        <w:t>, sendo vedada a identificação do seu detentor.</w:t>
      </w:r>
    </w:p>
    <w:p>
      <w:pPr>
        <w:pStyle w:val="2"/>
        <w:spacing w:before="360" w:after="0"/>
      </w:pPr>
      <w:bookmarkStart w:id="17" w:name="_Toc149517440"/>
      <w:r>
        <w:rPr>
          <w:rStyle w:val="45"/>
          <w:sz w:val="22"/>
          <w:szCs w:val="22"/>
        </w:rPr>
        <w:t>DESCONEXÃO DO</w:t>
      </w:r>
      <w:bookmarkEnd w:id="17"/>
      <w:r>
        <w:rPr>
          <w:rStyle w:val="45"/>
          <w:sz w:val="22"/>
          <w:szCs w:val="22"/>
        </w:rPr>
        <w:t xml:space="preserve"> PREGOEIRO</w:t>
      </w:r>
    </w:p>
    <w:p>
      <w:pPr>
        <w:pStyle w:val="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45"/>
          <w:color w:val="000000" w:themeColor="text1"/>
          <w:sz w:val="22"/>
          <w:szCs w:val="22"/>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45"/>
          <w:color w:val="000000" w:themeColor="text1"/>
          <w:sz w:val="22"/>
          <w:szCs w:val="22"/>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color w:val="000000"/>
          <w:sz w:val="22"/>
          <w:szCs w:val="22"/>
        </w:rPr>
        <w:t>.</w:t>
      </w:r>
    </w:p>
    <w:p>
      <w:pPr>
        <w:pStyle w:val="2"/>
        <w:spacing w:before="360" w:after="0"/>
      </w:pPr>
      <w:bookmarkStart w:id="18" w:name="_Toc149517441"/>
      <w:r>
        <w:rPr>
          <w:rStyle w:val="45"/>
          <w:sz w:val="22"/>
          <w:szCs w:val="22"/>
        </w:rPr>
        <w:t>BENEFÍCIOS ÀS MICROEMPRESAS</w:t>
      </w:r>
      <w:r>
        <w:rPr>
          <w:rStyle w:val="45"/>
          <w:sz w:val="22"/>
          <w:szCs w:val="22"/>
          <w:lang w:val="pt-BR"/>
        </w:rPr>
        <w:t>,</w:t>
      </w:r>
      <w:r>
        <w:rPr>
          <w:rStyle w:val="45"/>
          <w:sz w:val="22"/>
          <w:szCs w:val="22"/>
        </w:rPr>
        <w:t xml:space="preserve"> EMPRESAS DE PEQUENO PORTE</w:t>
      </w:r>
      <w:bookmarkEnd w:id="18"/>
      <w:r>
        <w:rPr>
          <w:rStyle w:val="45"/>
          <w:sz w:val="22"/>
          <w:szCs w:val="22"/>
          <w:lang w:val="pt-BR"/>
        </w:rPr>
        <w:t xml:space="preserve"> E REGIONAIS</w:t>
      </w:r>
    </w:p>
    <w:p>
      <w:pPr>
        <w:pStyle w:val="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A obtenção de benefícios previstos dos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artigos 42 a 49 da Lei Complementar Federal nº 123, de 2006</w:t>
      </w:r>
      <w:r>
        <w:rPr>
          <w:rStyle w:val="54"/>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rStyle w:val="54"/>
          <w:sz w:val="22"/>
          <w:szCs w:val="22"/>
        </w:rPr>
        <w:instrText xml:space="preserve"> HYPERLINK "https://www.planalto.gov.br/ccivil_03/leis/lcp/lcp123.htm" \l "art3"</w:instrText>
      </w:r>
      <w:r>
        <w:rPr>
          <w:rStyle w:val="54"/>
          <w:sz w:val="22"/>
          <w:szCs w:val="22"/>
        </w:rPr>
        <w:fldChar w:fldCharType="separate"/>
      </w:r>
      <w:r>
        <w:rPr>
          <w:rStyle w:val="54"/>
          <w:sz w:val="22"/>
          <w:szCs w:val="22"/>
        </w:rPr>
        <w:t>artigo 3° da Lei Complementar Federal nº 123, de 2006</w:t>
      </w:r>
      <w:r>
        <w:rPr>
          <w:rStyle w:val="54"/>
          <w:sz w:val="22"/>
          <w:szCs w:val="22"/>
        </w:rPr>
        <w:fldChar w:fldCharType="end"/>
      </w:r>
      <w:r>
        <w:rPr>
          <w:sz w:val="22"/>
          <w:szCs w:val="22"/>
        </w:rPr>
        <w:t xml:space="preserve">, estando apto a usufruir do tratamento favorecido estabelecido nos </w:t>
      </w:r>
      <w:r>
        <w:fldChar w:fldCharType="begin"/>
      </w:r>
      <w:r>
        <w:rPr>
          <w:rStyle w:val="54"/>
          <w:sz w:val="22"/>
          <w:szCs w:val="22"/>
        </w:rPr>
        <w:instrText xml:space="preserve"> HYPERLINK "https://www.planalto.gov.br/ccivil_03/leis/lcp/lcp123.htm" \l "art42"</w:instrText>
      </w:r>
      <w:r>
        <w:rPr>
          <w:rStyle w:val="54"/>
          <w:sz w:val="22"/>
          <w:szCs w:val="22"/>
        </w:rPr>
        <w:fldChar w:fldCharType="separate"/>
      </w:r>
      <w:r>
        <w:rPr>
          <w:rStyle w:val="54"/>
          <w:sz w:val="22"/>
          <w:szCs w:val="22"/>
        </w:rPr>
        <w:t>arts. 42 a 49 da Lei Complementar Federal nº 123, de 2006</w:t>
      </w:r>
      <w:r>
        <w:rPr>
          <w:rStyle w:val="54"/>
          <w:sz w:val="22"/>
          <w:szCs w:val="22"/>
        </w:rPr>
        <w:fldChar w:fldCharType="end"/>
      </w:r>
      <w:r>
        <w:rPr>
          <w:sz w:val="22"/>
          <w:szCs w:val="22"/>
        </w:rPr>
        <w:t xml:space="preserve">, observado o disposto nos </w:t>
      </w:r>
      <w:r>
        <w:fldChar w:fldCharType="begin"/>
      </w:r>
      <w:r>
        <w:rPr>
          <w:rStyle w:val="54"/>
          <w:sz w:val="22"/>
          <w:szCs w:val="22"/>
        </w:rPr>
        <w:instrText xml:space="preserve"> HYPERLINK "http://www.planalto.gov.br/ccivil_03/_ato2019-2022/2021/lei/L14133.htm" \l "art4§1"</w:instrText>
      </w:r>
      <w:r>
        <w:rPr>
          <w:rStyle w:val="54"/>
          <w:sz w:val="22"/>
          <w:szCs w:val="22"/>
        </w:rPr>
        <w:fldChar w:fldCharType="separate"/>
      </w:r>
      <w:r>
        <w:rPr>
          <w:rStyle w:val="54"/>
          <w:sz w:val="22"/>
          <w:szCs w:val="22"/>
        </w:rPr>
        <w:t>art. 4º, §§ 1º ao 3º, da Lei Federal nº 14.133, de 2021.</w:t>
      </w:r>
      <w:r>
        <w:rPr>
          <w:rStyle w:val="54"/>
          <w:sz w:val="22"/>
          <w:szCs w:val="22"/>
        </w:rPr>
        <w:fldChar w:fldCharType="end"/>
      </w:r>
    </w:p>
    <w:p>
      <w:pPr>
        <w:pStyle w:val="3"/>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3"/>
        <w:numPr>
          <w:ilvl w:val="1"/>
          <w:numId w:val="1"/>
        </w:numPr>
        <w:tabs>
          <w:tab w:val="left" w:pos="1134"/>
        </w:tabs>
        <w:spacing w:before="0" w:beforeAutospacing="0" w:after="0" w:afterAutospacing="0"/>
        <w:ind w:left="0" w:firstLine="567"/>
        <w:jc w:val="both"/>
        <w:textAlignment w:val="baseline"/>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fldChar w:fldCharType="begin"/>
      </w:r>
      <w:r>
        <w:instrText xml:space="preserve"> HYPERLINK "https://www.licitanet.com.br/" \h </w:instrText>
      </w:r>
      <w:r>
        <w:fldChar w:fldCharType="separate"/>
      </w:r>
      <w:r>
        <w:rPr>
          <w:rStyle w:val="54"/>
          <w:sz w:val="22"/>
          <w:szCs w:val="22"/>
        </w:rPr>
        <w:t>https://www.licitanet.com.br/</w:t>
      </w:r>
      <w:r>
        <w:rPr>
          <w:rStyle w:val="54"/>
          <w:sz w:val="22"/>
          <w:szCs w:val="22"/>
        </w:rPr>
        <w:fldChar w:fldCharType="end"/>
      </w:r>
      <w:r>
        <w:rPr>
          <w:sz w:val="22"/>
          <w:szCs w:val="22"/>
        </w:rPr>
        <w:t>), automaticamente, procederá da seguinte forma:</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3"/>
        <w:numPr>
          <w:ilvl w:val="2"/>
          <w:numId w:val="1"/>
        </w:numPr>
        <w:tabs>
          <w:tab w:val="left" w:pos="1134"/>
        </w:tabs>
        <w:spacing w:before="0" w:beforeAutospacing="0" w:after="0" w:afterAutospacing="0"/>
        <w:jc w:val="both"/>
        <w:textAlignment w:val="baseline"/>
      </w:pPr>
      <w:r>
        <w:rPr>
          <w:sz w:val="22"/>
          <w:szCs w:val="22"/>
        </w:rPr>
        <w:t xml:space="preserve">havendo empate de valor entre duas empresas beneficiárias do direito de preferência fixada na </w:t>
      </w:r>
      <w:r>
        <w:fldChar w:fldCharType="begin"/>
      </w:r>
      <w:r>
        <w:instrText xml:space="preserve"> HYPERLINK "https://www.planalto.gov.br/ccivil_03/leis/lcp/lcp123.htm" \h </w:instrText>
      </w:r>
      <w:r>
        <w:fldChar w:fldCharType="separate"/>
      </w:r>
      <w:r>
        <w:rPr>
          <w:rStyle w:val="54"/>
          <w:sz w:val="22"/>
          <w:szCs w:val="22"/>
        </w:rPr>
        <w:t>Lei Complementar Federal nº 123, de 2006</w:t>
      </w:r>
      <w:r>
        <w:rPr>
          <w:rStyle w:val="54"/>
          <w:sz w:val="22"/>
          <w:szCs w:val="22"/>
        </w:rPr>
        <w:fldChar w:fldCharType="end"/>
      </w:r>
      <w:r>
        <w:rPr>
          <w:sz w:val="22"/>
          <w:szCs w:val="22"/>
        </w:rPr>
        <w:t>, exercerá tal direito prioritariamente aquela cuja proposta tenha sido recebida e registrada pelo sistema primeiramente;</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3"/>
        <w:numPr>
          <w:ilvl w:val="2"/>
          <w:numId w:val="1"/>
        </w:numPr>
        <w:tabs>
          <w:tab w:val="left" w:pos="1134"/>
        </w:tabs>
        <w:spacing w:before="0" w:beforeAutospacing="0" w:after="0" w:afterAutospacing="0"/>
        <w:jc w:val="both"/>
        <w:textAlignment w:val="baseline"/>
        <w:rPr>
          <w:sz w:val="22"/>
          <w:szCs w:val="22"/>
        </w:rPr>
      </w:pPr>
      <w:r>
        <w:rPr>
          <w:sz w:val="22"/>
          <w:szCs w:val="22"/>
        </w:rPr>
        <w:t>na hipótese em que nenhuma dos licitantes exerça o direito de tratamento diferenciado, será mantida a ordem classificatória do certame.</w:t>
      </w:r>
    </w:p>
    <w:p>
      <w:pPr>
        <w:pStyle w:val="3"/>
        <w:numPr>
          <w:ilvl w:val="1"/>
          <w:numId w:val="1"/>
        </w:numPr>
        <w:tabs>
          <w:tab w:val="left" w:pos="1134"/>
        </w:tabs>
        <w:spacing w:before="0" w:beforeAutospacing="0" w:after="0" w:afterAutospacing="0"/>
        <w:jc w:val="both"/>
        <w:textAlignment w:val="baseline"/>
      </w:pPr>
      <w:r>
        <w:t xml:space="preserve">Na fase de HABILITAÇÃO, será concedido TRATAMENTO DIFERENCIADO às ME's/EPP's que estejam com problemas de REGULARIDADE FISCAL, SOCIAL E TRABALHISTA, à luz do disposto nos </w:t>
      </w:r>
      <w:r>
        <w:fldChar w:fldCharType="begin"/>
      </w:r>
      <w:r>
        <w:rPr>
          <w:rStyle w:val="54"/>
        </w:rPr>
        <w:instrText xml:space="preserve"> HYPERLINK "https://www.planalto.gov.br/ccivil_03/leis/lcp/lcp123.htm" \l "art42"</w:instrText>
      </w:r>
      <w:r>
        <w:rPr>
          <w:rStyle w:val="54"/>
        </w:rPr>
        <w:fldChar w:fldCharType="separate"/>
      </w:r>
      <w:r>
        <w:rPr>
          <w:rStyle w:val="54"/>
        </w:rPr>
        <w:t>arts. 42 e 43 da Lei Complementar Federal nº 123, de 2006</w:t>
      </w:r>
      <w:r>
        <w:rPr>
          <w:rStyle w:val="54"/>
        </w:rPr>
        <w:fldChar w:fldCharType="end"/>
      </w:r>
      <w:r>
        <w:t>, conforme as seguintes regras:</w:t>
      </w:r>
    </w:p>
    <w:p>
      <w:pPr>
        <w:pStyle w:val="3"/>
        <w:numPr>
          <w:ilvl w:val="2"/>
          <w:numId w:val="1"/>
        </w:numPr>
        <w:tabs>
          <w:tab w:val="left" w:pos="1134"/>
        </w:tabs>
        <w:spacing w:before="0" w:beforeAutospacing="0" w:after="0" w:afterAutospacing="0"/>
        <w:jc w:val="both"/>
        <w:textAlignment w:val="baseline"/>
      </w:pPr>
      <w: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3"/>
        <w:numPr>
          <w:ilvl w:val="2"/>
          <w:numId w:val="1"/>
        </w:numPr>
        <w:tabs>
          <w:tab w:val="left" w:pos="1134"/>
        </w:tabs>
        <w:spacing w:before="0" w:beforeAutospacing="0" w:after="0" w:afterAutospacing="0"/>
        <w:jc w:val="both"/>
        <w:textAlignment w:val="baseline"/>
      </w:pPr>
      <w:r>
        <w:t>será assegurado o prazo de 5 (cinco) dias úteis, prorrogáveis por igual período, a critério da Administração, para a regularização da documentação, pagamento ou parcelamento do débito, e emissão de eventuais certidões;</w:t>
      </w:r>
    </w:p>
    <w:p>
      <w:pPr>
        <w:pStyle w:val="3"/>
        <w:numPr>
          <w:ilvl w:val="2"/>
          <w:numId w:val="1"/>
        </w:numPr>
        <w:tabs>
          <w:tab w:val="left" w:pos="1134"/>
        </w:tabs>
        <w:spacing w:before="0" w:beforeAutospacing="0" w:after="0" w:afterAutospacing="0"/>
        <w:jc w:val="both"/>
        <w:textAlignment w:val="baseline"/>
      </w:pPr>
      <w:r>
        <w:t>a não regularização da documentação fiscal, social ou trabalhista, implicará na decadência do direito à contratação, sem prejuízo das sanções previstas neste Edital e seus Anexos;</w:t>
      </w:r>
    </w:p>
    <w:p>
      <w:pPr>
        <w:pStyle w:val="3"/>
        <w:numPr>
          <w:ilvl w:val="2"/>
          <w:numId w:val="1"/>
        </w:numPr>
        <w:tabs>
          <w:tab w:val="left" w:pos="1134"/>
        </w:tabs>
        <w:spacing w:before="0" w:beforeAutospacing="0" w:after="0" w:afterAutospacing="0"/>
        <w:jc w:val="both"/>
        <w:textAlignment w:val="baseline"/>
      </w:pPr>
      <w:r>
        <w:t>no caso de decadência do direito por não regularização da situação, será facultada à Câmara Municipal de Primavera do Leste – MT a convocação dos licitantes remanescentes, na ordem de classificação.</w:t>
      </w:r>
    </w:p>
    <w:p>
      <w:pPr>
        <w:pStyle w:val="3"/>
        <w:numPr>
          <w:ilvl w:val="1"/>
          <w:numId w:val="1"/>
        </w:numPr>
        <w:tabs>
          <w:tab w:val="left" w:pos="1134"/>
        </w:tabs>
        <w:spacing w:before="0" w:beforeAutospacing="0" w:after="0" w:afterAutospacing="0"/>
        <w:jc w:val="both"/>
        <w:textAlignment w:val="baseline"/>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3"/>
        <w:numPr>
          <w:ilvl w:val="1"/>
          <w:numId w:val="1"/>
        </w:numPr>
        <w:tabs>
          <w:tab w:val="left" w:pos="1134"/>
        </w:tabs>
        <w:spacing w:before="0" w:beforeAutospacing="0" w:after="0" w:afterAutospacing="0"/>
        <w:jc w:val="both"/>
        <w:textAlignment w:val="baseline"/>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3"/>
        <w:numPr>
          <w:ilvl w:val="1"/>
          <w:numId w:val="1"/>
        </w:numPr>
        <w:tabs>
          <w:tab w:val="left" w:pos="1134"/>
        </w:tabs>
        <w:spacing w:before="0" w:beforeAutospacing="0" w:after="0" w:afterAutospacing="0"/>
        <w:jc w:val="both"/>
        <w:textAlignment w:val="baseline"/>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rPr>
          <w:rStyle w:val="45"/>
          <w:b w:val="0"/>
          <w:bCs w:val="0"/>
        </w:rPr>
      </w:pPr>
      <w:bookmarkStart w:id="19" w:name="_Toc149517442"/>
      <w:r>
        <w:rPr>
          <w:rStyle w:val="45"/>
        </w:rPr>
        <w:t>EMPATE FICTO</w:t>
      </w:r>
      <w:bookmarkEnd w:id="19"/>
    </w:p>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xml:space="preserve">, momento no qual a ME ou EPP mais bem classificada será convocada para apresentar nova proposta, no prazo máximo </w:t>
      </w:r>
      <w:r>
        <w:rPr>
          <w:color w:val="000000"/>
          <w:shd w:val="clear" w:fill="auto"/>
        </w:rPr>
        <w:t>de 5 (cinco) mi</w:t>
      </w:r>
      <w:r>
        <w:rPr>
          <w:color w:val="000000"/>
        </w:rPr>
        <w:t xml:space="preserve">nutos controlados pelo sistema, sob pena de preclusão, consoante determina o </w:t>
      </w:r>
      <w:r>
        <w:fldChar w:fldCharType="begin"/>
      </w:r>
      <w:r>
        <w:rPr>
          <w:rStyle w:val="54"/>
        </w:rPr>
        <w:instrText xml:space="preserve"> HYPERLINK "https://www.planalto.gov.br/ccivil_03/leis/lcp/lcp123.htm" \l "art45"</w:instrText>
      </w:r>
      <w:r>
        <w:rPr>
          <w:rStyle w:val="54"/>
        </w:rPr>
        <w:fldChar w:fldCharType="separate"/>
      </w:r>
      <w:r>
        <w:rPr>
          <w:rStyle w:val="54"/>
        </w:rPr>
        <w:t>art. 45, §3º, da Lei Complementar Federal nº 123, de 2006</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 direito de preferência de que trata o item anterior será concedido da seguinte forma:</w:t>
      </w:r>
    </w:p>
    <w:p>
      <w:pPr>
        <w:pStyle w:val="3"/>
        <w:numPr>
          <w:ilvl w:val="2"/>
          <w:numId w:val="1"/>
        </w:numPr>
        <w:tabs>
          <w:tab w:val="left" w:pos="1134"/>
        </w:tabs>
        <w:spacing w:before="0" w:beforeAutospacing="0" w:after="0" w:afterAutospacing="0"/>
        <w:jc w:val="both"/>
        <w:textAlignment w:val="baseline"/>
        <w:rPr>
          <w:color w:val="000000"/>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3"/>
        <w:numPr>
          <w:ilvl w:val="2"/>
          <w:numId w:val="1"/>
        </w:numPr>
        <w:tabs>
          <w:tab w:val="left" w:pos="1134"/>
        </w:tabs>
        <w:spacing w:before="0" w:beforeAutospacing="0" w:after="0" w:afterAutospacing="0"/>
        <w:jc w:val="both"/>
        <w:textAlignment w:val="baseline"/>
        <w:rPr>
          <w:color w:val="000000"/>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3"/>
        <w:numPr>
          <w:ilvl w:val="2"/>
          <w:numId w:val="1"/>
        </w:numPr>
        <w:tabs>
          <w:tab w:val="left" w:pos="1134"/>
        </w:tabs>
        <w:spacing w:before="0" w:beforeAutospacing="0" w:after="0" w:afterAutospacing="0"/>
        <w:jc w:val="both"/>
        <w:textAlignment w:val="baseline"/>
        <w:rPr>
          <w:color w:val="000000"/>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 houver equivalência de valores apresentados pelas MEs ou EPPs, que se encontrem no intervalo estabelecido no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o sistema efetuará sorteio para identificar a empresa que primeiro poderá apresentar melhor oferta.</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a ME ou EPP convocada decline de exercer o direito de preferência, o sistema convocará as remanescentes que porventura se enquadrem na hipótese do </w:t>
      </w:r>
      <w:r>
        <w:fldChar w:fldCharType="begin"/>
      </w:r>
      <w:r>
        <w:rPr>
          <w:rStyle w:val="54"/>
        </w:rPr>
        <w:instrText xml:space="preserve"> HYPERLINK "https://www.planalto.gov.br/ccivil_03/leis/lcp/lcp123.htm" \l "art44"</w:instrText>
      </w:r>
      <w:r>
        <w:rPr>
          <w:rStyle w:val="54"/>
        </w:rPr>
        <w:fldChar w:fldCharType="separate"/>
      </w:r>
      <w:r>
        <w:rPr>
          <w:rStyle w:val="54"/>
        </w:rPr>
        <w:t>art. 44, §2º, da Lei Complementar Federal nº 123, de 2006</w:t>
      </w:r>
      <w:r>
        <w:rPr>
          <w:rStyle w:val="54"/>
        </w:rPr>
        <w:fldChar w:fldCharType="end"/>
      </w:r>
      <w:r>
        <w:rPr>
          <w:color w:val="000000"/>
        </w:rPr>
        <w:t>, na ordem de classificação. </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Se houver êxito no procedimento especificado acima, o sistema disponibilizará nova classificação dos fornecedores para fins de aceitação pelo(a) </w:t>
      </w:r>
      <w:r>
        <w:t>Pregoeiro</w:t>
      </w:r>
      <w:r>
        <w:rPr>
          <w:color w:val="000000"/>
        </w:rPr>
        <w:t>. Não havendo êxito ou não existindo ME ou EPP participante, prevalecerá a classificação inicial.</w:t>
      </w:r>
    </w:p>
    <w:p>
      <w:pPr>
        <w:pStyle w:val="2"/>
        <w:spacing w:before="360" w:after="0"/>
        <w:rPr>
          <w:rStyle w:val="45"/>
          <w:b w:val="0"/>
          <w:bCs w:val="0"/>
        </w:rPr>
      </w:pPr>
      <w:bookmarkStart w:id="20" w:name="_Toc149517443"/>
      <w:r>
        <w:rPr>
          <w:rStyle w:val="45"/>
        </w:rPr>
        <w:t>EMPATE REAL</w:t>
      </w:r>
      <w:bookmarkEnd w:id="20"/>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Em caso de empate entre 2 (duas) ou mais propostas, desde que não se enquadre em situação prevista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xml:space="preserve">, serão utilizados os critérios de desempate previstos no </w:t>
      </w:r>
      <w:r>
        <w:fldChar w:fldCharType="begin"/>
      </w:r>
      <w:r>
        <w:rPr>
          <w:rStyle w:val="54"/>
        </w:rPr>
        <w:instrText xml:space="preserve"> HYPERLINK "https://www.planalto.gov.br/ccivil_03/_ato2019-2022/2021/lei/l14133.htm" \l "art60"</w:instrText>
      </w:r>
      <w:r>
        <w:rPr>
          <w:rStyle w:val="54"/>
        </w:rPr>
        <w:fldChar w:fldCharType="separate"/>
      </w:r>
      <w:r>
        <w:rPr>
          <w:rStyle w:val="54"/>
        </w:rPr>
        <w:t>art. 60 da Lei Federal nº 14.133, de 2021</w:t>
      </w:r>
      <w:r>
        <w:rPr>
          <w:rStyle w:val="54"/>
        </w:rPr>
        <w:fldChar w:fldCharType="end"/>
      </w:r>
      <w:r>
        <w:rPr>
          <w:color w:val="000000"/>
        </w:rPr>
        <w:t>, naquela ordem, mesmo não havendo envio de lances na fase competitiva.</w:t>
      </w:r>
    </w:p>
    <w:p>
      <w:pPr>
        <w:pStyle w:val="3"/>
        <w:numPr>
          <w:ilvl w:val="1"/>
          <w:numId w:val="1"/>
        </w:numPr>
        <w:tabs>
          <w:tab w:val="left" w:pos="1134"/>
        </w:tabs>
        <w:spacing w:before="0" w:beforeAutospacing="0" w:after="0" w:afterAutospacing="0"/>
        <w:ind w:left="0" w:firstLine="567"/>
        <w:jc w:val="both"/>
        <w:textAlignment w:val="baseline"/>
      </w:pPr>
      <w:r>
        <w:rPr>
          <w:color w:val="000000"/>
        </w:rPr>
        <w:t>Persistindo</w:t>
      </w:r>
      <w:r>
        <w:t xml:space="preserve"> o empate, será assegurada preferência, sucessivamente, aos produtos produzidos por:</w:t>
      </w:r>
    </w:p>
    <w:p>
      <w:pPr>
        <w:pStyle w:val="3"/>
        <w:numPr>
          <w:ilvl w:val="2"/>
          <w:numId w:val="1"/>
        </w:numPr>
        <w:tabs>
          <w:tab w:val="left" w:pos="1134"/>
        </w:tabs>
        <w:spacing w:before="0" w:beforeAutospacing="0" w:after="0" w:afterAutospacing="0"/>
        <w:jc w:val="both"/>
        <w:textAlignment w:val="baseline"/>
      </w:pPr>
      <w:r>
        <w:rPr>
          <w:color w:val="000000"/>
        </w:rPr>
        <w:t>Empresas</w:t>
      </w:r>
      <w:r>
        <w:t xml:space="preserve"> brasileiras;</w:t>
      </w:r>
    </w:p>
    <w:p>
      <w:pPr>
        <w:pStyle w:val="3"/>
        <w:numPr>
          <w:ilvl w:val="2"/>
          <w:numId w:val="1"/>
        </w:numPr>
        <w:tabs>
          <w:tab w:val="left" w:pos="1134"/>
        </w:tabs>
        <w:spacing w:before="0" w:beforeAutospacing="0" w:after="0" w:afterAutospacing="0"/>
        <w:jc w:val="both"/>
        <w:textAlignment w:val="baseline"/>
      </w:pPr>
      <w:r>
        <w:rPr>
          <w:color w:val="000000"/>
        </w:rPr>
        <w:t>Empresas</w:t>
      </w:r>
      <w:r>
        <w:t xml:space="preserve"> estabelecidas no território de Mato Grosso;</w:t>
      </w:r>
    </w:p>
    <w:p>
      <w:pPr>
        <w:pStyle w:val="3"/>
        <w:numPr>
          <w:ilvl w:val="2"/>
          <w:numId w:val="1"/>
        </w:numPr>
        <w:tabs>
          <w:tab w:val="left" w:pos="1134"/>
        </w:tabs>
        <w:spacing w:before="0" w:beforeAutospacing="0" w:after="0" w:afterAutospacing="0"/>
        <w:jc w:val="both"/>
        <w:textAlignment w:val="baseline"/>
      </w:pPr>
      <w:r>
        <w:rPr>
          <w:color w:val="000000"/>
        </w:rPr>
        <w:t>Empresas</w:t>
      </w:r>
      <w:r>
        <w:t xml:space="preserve"> que invistam em pesquisa e no desenvolvimento de tecnologia no País;</w:t>
      </w:r>
    </w:p>
    <w:p>
      <w:pPr>
        <w:pStyle w:val="3"/>
        <w:numPr>
          <w:ilvl w:val="2"/>
          <w:numId w:val="1"/>
        </w:numPr>
        <w:tabs>
          <w:tab w:val="left" w:pos="1134"/>
        </w:tabs>
        <w:spacing w:before="0" w:beforeAutospacing="0" w:after="0" w:afterAutospacing="0"/>
        <w:jc w:val="both"/>
        <w:textAlignment w:val="baseline"/>
      </w:pPr>
      <w:r>
        <w:t xml:space="preserve">Empresas que comprovem a prática de mitigação, nos termos da </w:t>
      </w:r>
      <w:r>
        <w:fldChar w:fldCharType="begin"/>
      </w:r>
      <w:r>
        <w:instrText xml:space="preserve"> HYPERLINK "https://www.planalto.gov.br/ccivil_03/_ato2007-2010/2009/lei/l12187.htm" \h </w:instrText>
      </w:r>
      <w:r>
        <w:fldChar w:fldCharType="separate"/>
      </w:r>
      <w:r>
        <w:rPr>
          <w:rStyle w:val="54"/>
        </w:rPr>
        <w:t>Lei Federal nº 12.187, de 2009</w:t>
      </w:r>
      <w:r>
        <w:rPr>
          <w:rStyle w:val="54"/>
        </w:rPr>
        <w:fldChar w:fldCharType="end"/>
      </w:r>
      <w:r>
        <w:t>.</w:t>
      </w:r>
    </w:p>
    <w:p>
      <w:pPr>
        <w:pStyle w:val="3"/>
        <w:numPr>
          <w:ilvl w:val="0"/>
          <w:numId w:val="0"/>
        </w:numPr>
        <w:tabs>
          <w:tab w:val="left" w:pos="1134"/>
        </w:tabs>
        <w:spacing w:before="0" w:beforeAutospacing="0" w:after="0" w:afterAutospacing="0"/>
        <w:ind w:left="720" w:firstLine="0"/>
        <w:jc w:val="both"/>
        <w:textAlignment w:val="baseline"/>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rStyle w:val="45"/>
          <w:b/>
          <w:bCs/>
        </w:rPr>
      </w:pPr>
      <w:r>
        <w:rPr>
          <w:rStyle w:val="45"/>
          <w:b/>
          <w:bCs/>
        </w:rPr>
        <w:t>CONFORMIDADE DA PROPOSTA CLASSIFICADA EM PRIMEIRO LUGAR </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Encerrada a etapa de lances, após observado o disposto no item “</w:t>
      </w:r>
      <w:r>
        <w:fldChar w:fldCharType="begin"/>
      </w:r>
      <w:r>
        <w:instrText xml:space="preserve"> HYPERLINK \l "_CONSÓRCIO" \h </w:instrText>
      </w:r>
      <w:r>
        <w:fldChar w:fldCharType="separate"/>
      </w:r>
      <w:r>
        <w:rPr>
          <w:rStyle w:val="54"/>
        </w:rPr>
        <w:t>8 - CONSÓRCIO</w:t>
      </w:r>
      <w:r>
        <w:rPr>
          <w:rStyle w:val="54"/>
        </w:rPr>
        <w:fldChar w:fldCharType="end"/>
      </w:r>
      <w:r>
        <w:rPr>
          <w:color w:val="000000"/>
        </w:rPr>
        <w:t xml:space="preserve">” deste Edital, o(a) </w:t>
      </w:r>
      <w:r>
        <w:t>Pregoeiro</w:t>
      </w:r>
      <w:r>
        <w:rPr>
          <w:color w:val="000000"/>
        </w:rPr>
        <w:t xml:space="preserve"> solicitará, no prazo de 2 (duas) horas, o envio da proposta classificada em primeiro lugar adequada ao último lance ofertado, e se necessário, dos documentos complementares, que será julgada pelo critério de </w:t>
      </w:r>
      <w:r>
        <w:rPr>
          <w:rFonts w:hint="default"/>
          <w:b/>
          <w:bCs/>
          <w:color w:val="000000"/>
          <w:lang w:val="pt-BR"/>
        </w:rPr>
        <w:t>Menor Taxa</w:t>
      </w:r>
      <w:r>
        <w:rPr>
          <w:color w:val="000000"/>
        </w:rPr>
        <w:t xml:space="preserve"> unitário/total por item/lote e realizará a verificação da conformidade da proposta em relação ao objeto e à compatibilidade do preço em relação ao máximo para a contratação, conforme definido neste edital. </w:t>
      </w:r>
    </w:p>
    <w:p>
      <w:pPr>
        <w:pStyle w:val="3"/>
        <w:numPr>
          <w:ilvl w:val="0"/>
          <w:numId w:val="0"/>
        </w:numPr>
        <w:tabs>
          <w:tab w:val="left" w:pos="1134"/>
        </w:tabs>
        <w:spacing w:before="0" w:beforeAutospacing="0" w:after="0" w:afterAutospacing="0"/>
        <w:ind w:left="567" w:firstLine="0"/>
        <w:jc w:val="both"/>
        <w:textAlignment w:val="baseline"/>
        <w:rPr>
          <w:color w:val="000000"/>
        </w:rPr>
      </w:pPr>
    </w:p>
    <w:p>
      <w:pPr>
        <w:pStyle w:val="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rStyle w:val="45"/>
          <w:b/>
          <w:bCs/>
        </w:rPr>
      </w:pPr>
      <w:r>
        <w:rPr>
          <w:rStyle w:val="45"/>
          <w:b/>
          <w:bCs/>
        </w:rPr>
        <w:t>NEGOCIAÇÃO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Definido o resultado do julgamento, o(a) </w:t>
      </w:r>
      <w:r>
        <w:t>Pregoeiro</w:t>
      </w:r>
      <w:r>
        <w:rPr>
          <w:color w:val="000000"/>
        </w:rPr>
        <w:t xml:space="preserve"> poderá negociar condições mais vantajosas com o primeiro colocado, pelo sistema eletrônico, podendo, a negociação ser acompanhada pelos demais licitantes.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Caso a proposta da licitante classificada em primeiro lugar apresente preço superior ao máximo para a contratação, o(a) </w:t>
      </w:r>
      <w:r>
        <w:t>Pregoeiro</w:t>
      </w:r>
      <w:r>
        <w:rPr>
          <w:color w:val="000000"/>
        </w:rPr>
        <w:t xml:space="preserve"> deverá negociar condições mais vantajosas, pelo sistema eletrônico, podendo, a negociação ser acompanhada pelos demais licitantes (</w:t>
      </w:r>
      <w:r>
        <w:fldChar w:fldCharType="begin"/>
      </w:r>
      <w:r>
        <w:rPr>
          <w:rStyle w:val="54"/>
        </w:rPr>
        <w:instrText xml:space="preserve"> HYPERLINK "https://www.planalto.gov.br/ccivil_03/_ato2019-2022/2021/lei/l14133.htm" \l "art61"</w:instrText>
      </w:r>
      <w:r>
        <w:rPr>
          <w:rStyle w:val="54"/>
        </w:rPr>
        <w:fldChar w:fldCharType="separate"/>
      </w:r>
      <w:r>
        <w:rPr>
          <w:rStyle w:val="54"/>
        </w:rPr>
        <w:t>art. 61, §1º,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rStyle w:val="54"/>
        </w:rPr>
        <w:instrText xml:space="preserve"> HYPERLINK "https://www.planalto.gov.br/ccivil_03/_ato2019-2022/2021/lei/l14133.htm" \l "art60"</w:instrText>
      </w:r>
      <w:r>
        <w:rPr>
          <w:rStyle w:val="54"/>
        </w:rPr>
        <w:fldChar w:fldCharType="separate"/>
      </w:r>
      <w:r>
        <w:rPr>
          <w:rStyle w:val="54"/>
        </w:rPr>
        <w:t>art. 60 da Lei Federal nº 14.133, de 2021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"art61"</w:instrText>
      </w:r>
      <w:r>
        <w:rPr>
          <w:rStyle w:val="54"/>
        </w:rPr>
        <w:fldChar w:fldCharType="separate"/>
      </w:r>
      <w:r>
        <w:rPr>
          <w:rStyle w:val="54"/>
        </w:rPr>
        <w:t>art.61, §1º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proposta de preços classificada em primeiro lugar, ajustada ao valor final aceito pelo(a) </w:t>
      </w:r>
      <w:r>
        <w:t>Pregoeiro</w:t>
      </w:r>
      <w:r>
        <w:rPr>
          <w:color w:val="000000"/>
        </w:rPr>
        <w:t xml:space="preserve"> após a devida negociação, deverá ser anexada ao sistema eletrônico após solicitação do(a) </w:t>
      </w:r>
      <w:r>
        <w:t>Pregoeiro</w:t>
      </w:r>
      <w:r>
        <w:rPr>
          <w:color w:val="000000"/>
        </w:rPr>
        <w:t xml:space="preserve"> pela opção "Convocar Anexo", no prazo de 2 (duas) horas, contado de sua solicitação.</w:t>
      </w:r>
    </w:p>
    <w:p>
      <w:pPr>
        <w:pStyle w:val="2"/>
        <w:spacing w:before="360" w:after="0"/>
        <w:rPr>
          <w:rStyle w:val="45"/>
          <w:b w:val="0"/>
          <w:bCs w:val="0"/>
        </w:rPr>
      </w:pPr>
      <w:bookmarkStart w:id="21" w:name="_Toc149517444"/>
      <w:r>
        <w:rPr>
          <w:rStyle w:val="45"/>
        </w:rPr>
        <w:t>DESCLASSIFICAÇÃO DE PROPOSTA</w:t>
      </w:r>
      <w:bookmarkEnd w:id="21"/>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Será desclassificada a proposta, que (</w:t>
      </w:r>
      <w:r>
        <w:fldChar w:fldCharType="begin"/>
      </w:r>
      <w:r>
        <w:rPr>
          <w:rStyle w:val="54"/>
        </w:rPr>
        <w:instrText xml:space="preserve"> HYPERLINK "https://www.planalto.gov.br/ccivil_03/_ato2019-2022/2021/lei/l14133.htm" \l "art59"</w:instrText>
      </w:r>
      <w:r>
        <w:rPr>
          <w:rStyle w:val="54"/>
        </w:rPr>
        <w:fldChar w:fldCharType="separate"/>
      </w:r>
      <w:r>
        <w:rPr>
          <w:rStyle w:val="54"/>
        </w:rPr>
        <w:t>art. 59, da Lei Federal nº 14.133, de 2021</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color w:val="000000"/>
        </w:rPr>
      </w:pPr>
      <w:r>
        <w:rPr>
          <w:color w:val="000000"/>
        </w:rPr>
        <w:t>contiverem vícios insanáveis;</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 obedecerem às especificações técnicas pormenorizadas no edital;</w:t>
      </w:r>
    </w:p>
    <w:p>
      <w:pPr>
        <w:pStyle w:val="3"/>
        <w:numPr>
          <w:ilvl w:val="2"/>
          <w:numId w:val="1"/>
        </w:numPr>
        <w:tabs>
          <w:tab w:val="left" w:pos="1134"/>
        </w:tabs>
        <w:spacing w:before="0" w:beforeAutospacing="0" w:after="0" w:afterAutospacing="0"/>
        <w:jc w:val="both"/>
        <w:textAlignment w:val="baseline"/>
        <w:rPr>
          <w:color w:val="000000"/>
        </w:rPr>
      </w:pPr>
      <w:r>
        <w:rPr>
          <w:color w:val="000000"/>
        </w:rPr>
        <w:t>presentarem preços inexequíveis e não tiverem sua exequibilidade demonstrada, quando exigido pela Administração;</w:t>
      </w:r>
    </w:p>
    <w:p>
      <w:pPr>
        <w:pStyle w:val="3"/>
        <w:numPr>
          <w:ilvl w:val="2"/>
          <w:numId w:val="1"/>
        </w:numPr>
        <w:tabs>
          <w:tab w:val="left" w:pos="1134"/>
        </w:tabs>
        <w:spacing w:before="0" w:beforeAutospacing="0" w:after="0" w:afterAutospacing="0"/>
        <w:jc w:val="both"/>
        <w:textAlignment w:val="baseline"/>
        <w:rPr>
          <w:color w:val="000000"/>
        </w:rPr>
      </w:pPr>
      <w:r>
        <w:rPr>
          <w:color w:val="000000"/>
        </w:rPr>
        <w:t>com preço superior ao estimado para a contratação;</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não tiver como anexo </w:t>
      </w:r>
      <w:r>
        <w:t>atestado de vistoria técnica, conforme “Anexo IV - Modelo de Atestado de Vistoria Técnica” ou a declaração de pleno conhecimento conforme “Anexo V - Modelo de Declaração de Pleno Conhecimento”.</w:t>
      </w:r>
    </w:p>
    <w:p>
      <w:pPr>
        <w:pStyle w:val="3"/>
        <w:numPr>
          <w:ilvl w:val="2"/>
          <w:numId w:val="1"/>
        </w:numPr>
        <w:tabs>
          <w:tab w:val="left" w:pos="1134"/>
        </w:tabs>
        <w:spacing w:before="0" w:beforeAutospacing="0" w:after="0" w:afterAutospacing="0"/>
        <w:jc w:val="both"/>
        <w:textAlignment w:val="baseline"/>
        <w:rPr>
          <w:color w:val="000000"/>
        </w:rPr>
      </w:pPr>
      <w:r>
        <w:rPr>
          <w:color w:val="000000"/>
        </w:rPr>
        <w:t>Apresentarem desconformidade com quaisquer outras exigências do edital, desde que insanável.</w:t>
      </w:r>
    </w:p>
    <w:p>
      <w:pPr>
        <w:pStyle w:val="3"/>
        <w:numPr>
          <w:ilvl w:val="1"/>
          <w:numId w:val="1"/>
        </w:numPr>
        <w:tabs>
          <w:tab w:val="left" w:pos="1134"/>
        </w:tabs>
        <w:spacing w:before="0" w:beforeAutospacing="0" w:after="0" w:afterAutospacing="0"/>
        <w:ind w:left="0" w:firstLine="567"/>
        <w:jc w:val="both"/>
        <w:textAlignment w:val="baseline"/>
        <w:rPr>
          <w:color w:val="000000"/>
        </w:rPr>
      </w:pPr>
      <w: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fldChar w:fldCharType="begin"/>
      </w:r>
      <w:r>
        <w:instrText xml:space="preserve"> HYPERLINK "https://pesquisa.apps.tcu.gov.br/documento/acordao-completo/*/NUMACORDAO%253A1217%2520ANOACORDAO%253A2023%2520/DTRELEVANCIA%2520desc%252C%2520NUMACORDAOINT%2520desc/0" \h </w:instrText>
      </w:r>
      <w:r>
        <w:fldChar w:fldCharType="separate"/>
      </w:r>
      <w:r>
        <w:rPr>
          <w:rStyle w:val="54"/>
        </w:rPr>
        <w:t>Acórdão 1217/2023 Plenário - TCU</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Será desclassificada a proposta que não corrigir ou não justificar eventuais falhas apontadas pelo(a) </w:t>
      </w:r>
      <w:r>
        <w:t>Pregoeiro</w:t>
      </w:r>
      <w:r>
        <w:rPr>
          <w:color w:val="000000"/>
        </w:rPr>
        <w:t>.</w:t>
      </w:r>
    </w:p>
    <w:p>
      <w:pPr>
        <w:pStyle w:val="2"/>
        <w:spacing w:before="360" w:after="0"/>
        <w:rPr>
          <w:rStyle w:val="45"/>
          <w:b w:val="0"/>
          <w:bCs w:val="0"/>
        </w:rPr>
      </w:pPr>
      <w:bookmarkStart w:id="22" w:name="_Toc149517445"/>
      <w:r>
        <w:rPr>
          <w:rStyle w:val="45"/>
        </w:rPr>
        <w:t>INEXEQUIBILIDADE DE PROPOSTA</w:t>
      </w:r>
      <w:bookmarkEnd w:id="22"/>
    </w:p>
    <w:p>
      <w:pPr>
        <w:pStyle w:val="3"/>
        <w:numPr>
          <w:ilvl w:val="1"/>
          <w:numId w:val="1"/>
        </w:numPr>
        <w:tabs>
          <w:tab w:val="left" w:pos="1134"/>
        </w:tabs>
        <w:spacing w:before="120" w:beforeAutospacing="0" w:after="0" w:afterAutospacing="0"/>
        <w:ind w:left="0" w:firstLine="567"/>
        <w:jc w:val="both"/>
        <w:textAlignment w:val="baseline"/>
        <w:rPr>
          <w:b/>
          <w:bCs/>
        </w:rPr>
      </w:pPr>
      <w:r>
        <w:t>É considerado indício de inexequibilidade das propostas valores inferiores a 50% (cinquenta por cento) do valor orçado pela Administração.</w:t>
      </w:r>
    </w:p>
    <w:p>
      <w:pPr>
        <w:pStyle w:val="3"/>
        <w:numPr>
          <w:ilvl w:val="1"/>
          <w:numId w:val="1"/>
        </w:numPr>
        <w:tabs>
          <w:tab w:val="left" w:pos="1134"/>
        </w:tabs>
        <w:spacing w:before="0" w:beforeAutospacing="0" w:after="120" w:afterAutospacing="0"/>
        <w:ind w:left="0" w:firstLine="567"/>
        <w:jc w:val="both"/>
        <w:textAlignment w:val="baseline"/>
        <w:rPr>
          <w:color w:val="000000"/>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3"/>
        <w:numPr>
          <w:ilvl w:val="2"/>
          <w:numId w:val="5"/>
        </w:numPr>
        <w:tabs>
          <w:tab w:val="left" w:pos="1134"/>
        </w:tabs>
        <w:spacing w:before="120" w:beforeAutospacing="0" w:after="0" w:afterAutospacing="0"/>
        <w:jc w:val="both"/>
        <w:textAlignment w:val="baseline"/>
      </w:pPr>
      <w:r>
        <w:rPr>
          <w:color w:val="000000"/>
        </w:rPr>
        <w:t>Questionamentos junto à proponente para a apresentação de justificativas e comprovações em relação aos custos com indícios de inexequibilidade;</w:t>
      </w:r>
    </w:p>
    <w:p>
      <w:pPr>
        <w:pStyle w:val="3"/>
        <w:numPr>
          <w:ilvl w:val="2"/>
          <w:numId w:val="5"/>
        </w:numPr>
        <w:tabs>
          <w:tab w:val="left" w:pos="1134"/>
        </w:tabs>
        <w:spacing w:before="0" w:beforeAutospacing="0" w:after="0" w:afterAutospacing="0"/>
        <w:jc w:val="both"/>
        <w:textAlignment w:val="baseline"/>
      </w:pPr>
      <w:r>
        <w:rPr>
          <w:color w:val="000000"/>
        </w:rPr>
        <w:t>verificação de acordos, convenções coletivas ou sentenças normativas;</w:t>
      </w:r>
    </w:p>
    <w:p>
      <w:pPr>
        <w:pStyle w:val="3"/>
        <w:numPr>
          <w:ilvl w:val="2"/>
          <w:numId w:val="5"/>
        </w:numPr>
        <w:tabs>
          <w:tab w:val="left" w:pos="1134"/>
        </w:tabs>
        <w:spacing w:before="0" w:beforeAutospacing="0" w:after="0" w:afterAutospacing="0"/>
        <w:jc w:val="both"/>
        <w:textAlignment w:val="baseline"/>
      </w:pPr>
      <w:r>
        <w:rPr>
          <w:color w:val="000000"/>
        </w:rPr>
        <w:t>levantamento de informações no Ministério do Trabalho e Previdência e consultas às Secretarias de Fazenda Federal, Distrital, Estadual ou Municipal;</w:t>
      </w:r>
    </w:p>
    <w:p>
      <w:pPr>
        <w:pStyle w:val="3"/>
        <w:numPr>
          <w:ilvl w:val="2"/>
          <w:numId w:val="5"/>
        </w:numPr>
        <w:tabs>
          <w:tab w:val="left" w:pos="1134"/>
        </w:tabs>
        <w:spacing w:before="0" w:beforeAutospacing="0" w:after="0" w:afterAutospacing="0"/>
        <w:jc w:val="both"/>
        <w:textAlignment w:val="baseline"/>
      </w:pPr>
      <w:r>
        <w:rPr>
          <w:color w:val="000000"/>
        </w:rPr>
        <w:t>consultas a entidades ou conselhos de classe, sindicatos ou similares;</w:t>
      </w:r>
    </w:p>
    <w:p>
      <w:pPr>
        <w:pStyle w:val="3"/>
        <w:numPr>
          <w:ilvl w:val="2"/>
          <w:numId w:val="5"/>
        </w:numPr>
        <w:tabs>
          <w:tab w:val="left" w:pos="1134"/>
        </w:tabs>
        <w:spacing w:before="0" w:beforeAutospacing="0" w:after="0" w:afterAutospacing="0"/>
        <w:jc w:val="both"/>
        <w:textAlignment w:val="baseline"/>
      </w:pPr>
      <w:r>
        <w:rPr>
          <w:color w:val="000000"/>
        </w:rPr>
        <w:t>pesquisas em órgãos públicos ou empresas privadas para verificação de contratos da mesma natureza;</w:t>
      </w:r>
    </w:p>
    <w:p>
      <w:pPr>
        <w:pStyle w:val="3"/>
        <w:numPr>
          <w:ilvl w:val="2"/>
          <w:numId w:val="5"/>
        </w:numPr>
        <w:tabs>
          <w:tab w:val="left" w:pos="1134"/>
        </w:tabs>
        <w:spacing w:before="0" w:beforeAutospacing="0" w:after="0" w:afterAutospacing="0"/>
        <w:jc w:val="both"/>
        <w:textAlignment w:val="baseline"/>
      </w:pPr>
      <w:r>
        <w:rPr>
          <w:color w:val="000000"/>
        </w:rPr>
        <w:t>pesquisa de preço com fornecedores dos insumos utilizados, tais como atacadistas, lojas de suprimentos, supermercados e fabricantes;</w:t>
      </w:r>
    </w:p>
    <w:p>
      <w:pPr>
        <w:pStyle w:val="3"/>
        <w:numPr>
          <w:ilvl w:val="2"/>
          <w:numId w:val="5"/>
        </w:numPr>
        <w:tabs>
          <w:tab w:val="left" w:pos="1134"/>
        </w:tabs>
        <w:spacing w:before="0" w:beforeAutospacing="0" w:after="0" w:afterAutospacing="0"/>
        <w:jc w:val="both"/>
        <w:textAlignment w:val="baseline"/>
      </w:pPr>
      <w:r>
        <w:rPr>
          <w:color w:val="000000"/>
        </w:rPr>
        <w:t>verificação de notas fiscais dos produtos adquiridos pelo proponente;</w:t>
      </w:r>
    </w:p>
    <w:p>
      <w:pPr>
        <w:pStyle w:val="3"/>
        <w:numPr>
          <w:ilvl w:val="2"/>
          <w:numId w:val="5"/>
        </w:numPr>
        <w:tabs>
          <w:tab w:val="left" w:pos="1134"/>
        </w:tabs>
        <w:spacing w:before="0" w:beforeAutospacing="0" w:after="0" w:afterAutospacing="0"/>
        <w:jc w:val="both"/>
        <w:textAlignment w:val="baseline"/>
      </w:pPr>
      <w:r>
        <w:rPr>
          <w:color w:val="000000"/>
        </w:rPr>
        <w:t>levantamento de indicadores salariais ou trabalhistas publicados por órgãos de pesquisa;</w:t>
      </w:r>
    </w:p>
    <w:p>
      <w:pPr>
        <w:pStyle w:val="3"/>
        <w:numPr>
          <w:ilvl w:val="2"/>
          <w:numId w:val="5"/>
        </w:numPr>
        <w:tabs>
          <w:tab w:val="left" w:pos="1134"/>
        </w:tabs>
        <w:spacing w:before="0" w:beforeAutospacing="0" w:after="0" w:afterAutospacing="0"/>
        <w:jc w:val="both"/>
        <w:textAlignment w:val="baseline"/>
      </w:pPr>
      <w:r>
        <w:rPr>
          <w:color w:val="000000"/>
        </w:rPr>
        <w:t>estudos setoriais;</w:t>
      </w:r>
    </w:p>
    <w:p>
      <w:pPr>
        <w:pStyle w:val="3"/>
        <w:numPr>
          <w:ilvl w:val="2"/>
          <w:numId w:val="5"/>
        </w:numPr>
        <w:tabs>
          <w:tab w:val="left" w:pos="1134"/>
        </w:tabs>
        <w:spacing w:before="0" w:beforeAutospacing="0" w:after="0" w:afterAutospacing="0"/>
        <w:jc w:val="both"/>
        <w:textAlignment w:val="baseline"/>
      </w:pPr>
      <w:r>
        <w:rPr>
          <w:color w:val="000000"/>
        </w:rPr>
        <w:t>análise de soluções técnicas e/ou condições excepcionalmente favoráveis que o proponente detenha para o fornecimento dos produtos; e</w:t>
      </w:r>
    </w:p>
    <w:p>
      <w:pPr>
        <w:pStyle w:val="3"/>
        <w:numPr>
          <w:ilvl w:val="2"/>
          <w:numId w:val="5"/>
        </w:numPr>
        <w:tabs>
          <w:tab w:val="left" w:pos="1134"/>
        </w:tabs>
        <w:spacing w:before="0" w:beforeAutospacing="0" w:after="120" w:afterAutospacing="0"/>
        <w:jc w:val="both"/>
        <w:textAlignment w:val="baseline"/>
      </w:pPr>
      <w:r>
        <w:rPr>
          <w:color w:val="000000"/>
        </w:rPr>
        <w:t>demais verificações que porventura se fizerem necessárias.</w:t>
      </w:r>
    </w:p>
    <w:p>
      <w:pPr>
        <w:pStyle w:val="3"/>
        <w:numPr>
          <w:ilvl w:val="1"/>
          <w:numId w:val="1"/>
        </w:numPr>
        <w:tabs>
          <w:tab w:val="left" w:pos="1134"/>
        </w:tabs>
        <w:spacing w:before="120" w:beforeAutospacing="0" w:after="0" w:afterAutospacing="0"/>
        <w:ind w:left="0" w:firstLine="567"/>
        <w:jc w:val="both"/>
        <w:textAlignment w:val="baseline"/>
      </w:pPr>
      <w:r>
        <w:t xml:space="preserve">A </w:t>
      </w:r>
      <w:r>
        <w:rPr>
          <w:color w:val="000000"/>
        </w:rPr>
        <w:t>inexequibilidade</w:t>
      </w:r>
      <w:r>
        <w:t xml:space="preserve"> só será considerada após diligência do pregoeiro, que comprove:</w:t>
      </w:r>
    </w:p>
    <w:p>
      <w:pPr>
        <w:pStyle w:val="3"/>
        <w:numPr>
          <w:ilvl w:val="2"/>
          <w:numId w:val="1"/>
        </w:numPr>
        <w:tabs>
          <w:tab w:val="left" w:pos="1134"/>
        </w:tabs>
        <w:spacing w:before="0" w:beforeAutospacing="0" w:after="0" w:afterAutospacing="0"/>
        <w:jc w:val="both"/>
        <w:textAlignment w:val="baseline"/>
      </w:pPr>
      <w:r>
        <w:t xml:space="preserve">que o </w:t>
      </w:r>
      <w:r>
        <w:rPr>
          <w:color w:val="000000"/>
        </w:rPr>
        <w:t>custo</w:t>
      </w:r>
      <w:r>
        <w:t xml:space="preserve"> do licitante ultrapassa o valor da proposta; e</w:t>
      </w:r>
    </w:p>
    <w:p>
      <w:pPr>
        <w:pStyle w:val="3"/>
        <w:numPr>
          <w:ilvl w:val="2"/>
          <w:numId w:val="1"/>
        </w:numPr>
        <w:tabs>
          <w:tab w:val="left" w:pos="1134"/>
        </w:tabs>
        <w:spacing w:before="0" w:beforeAutospacing="0" w:after="0" w:afterAutospacing="0"/>
        <w:jc w:val="both"/>
        <w:textAlignment w:val="baseline"/>
      </w:pPr>
      <w:r>
        <w:t>inexistirem custos de oportunidade capazes de justificar o vulto da oferta.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rPr>
          <w:rStyle w:val="45"/>
          <w:b w:val="0"/>
          <w:bCs w:val="0"/>
        </w:rPr>
      </w:pPr>
      <w:bookmarkStart w:id="23" w:name="_Toc149517446"/>
      <w:r>
        <w:rPr>
          <w:rStyle w:val="45"/>
        </w:rPr>
        <w:t>PROPOSTA CLASSIFICADA EM PRIMEIRO LUGAR</w:t>
      </w:r>
      <w:bookmarkEnd w:id="23"/>
      <w:r>
        <w:rPr>
          <w:rStyle w:val="45"/>
        </w:rPr>
        <w:t> </w:t>
      </w:r>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Na hipótese de a proposta não ser aceitável ou se a licitante classificada em primeiro lugar não atender às exigências para a habilitação, o(a) </w:t>
      </w:r>
      <w:r>
        <w:t>Pregoeiro</w:t>
      </w:r>
      <w:r>
        <w:rPr>
          <w:color w:val="000000"/>
        </w:rPr>
        <w:t xml:space="preserve"> examinará a proposta subsequente até a apuração de uma proposta que atenda aos requisitos descritos neste Edital.</w:t>
      </w:r>
    </w:p>
    <w:p>
      <w:pPr>
        <w:pStyle w:val="3"/>
        <w:numPr>
          <w:ilvl w:val="1"/>
          <w:numId w:val="1"/>
        </w:numPr>
        <w:tabs>
          <w:tab w:val="left" w:pos="1134"/>
        </w:tabs>
        <w:spacing w:before="0" w:beforeAutospacing="0" w:after="0" w:afterAutospacing="0"/>
        <w:ind w:left="0" w:firstLine="567"/>
        <w:jc w:val="both"/>
        <w:textAlignment w:val="baseline"/>
      </w:pPr>
      <w:r>
        <w:rPr>
          <w:color w:val="000000"/>
        </w:rPr>
        <w:t>Constatado o atendimento às exigências fixadas neste Edital, a licitante classificada em primeiro lugar será declarada vencedora da licitação.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No julgamento da habilitação e das propostas, o(a) </w:t>
      </w:r>
      <w: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rStyle w:val="54"/>
        </w:rPr>
        <w:instrText xml:space="preserve"> HYPERLINK "https://www.planalto.gov.br/ccivil_03/_ato2019-2022/2021/lei/l14133.htm" \l "art64"</w:instrText>
      </w:r>
      <w:r>
        <w:rPr>
          <w:rStyle w:val="54"/>
        </w:rPr>
        <w:fldChar w:fldCharType="separate"/>
      </w:r>
      <w:r>
        <w:rPr>
          <w:rStyle w:val="54"/>
        </w:rPr>
        <w:t>art. 64, §1º,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t xml:space="preserve">Portal Licitanet, disponível no endereço eletrônico: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 proposta de preços classificada em primeiro lugar, ajustada ao último lance ofertado pela licitante e, se necessário, com os documentos complementares solicitados pelo(a) </w:t>
      </w:r>
      <w:r>
        <w:t>Pregoeiro</w:t>
      </w:r>
      <w:r>
        <w:rPr>
          <w:color w:val="000000"/>
        </w:rPr>
        <w:t>, deverá ser anexada ao sistema eletrônico após a solicitação pela opção “Convocar Anexo”, no prazo de 2 (duas) horas, contado de sua solicitação.</w:t>
      </w:r>
    </w:p>
    <w:p>
      <w:pPr>
        <w:pStyle w:val="3"/>
        <w:numPr>
          <w:ilvl w:val="1"/>
          <w:numId w:val="1"/>
        </w:numPr>
        <w:tabs>
          <w:tab w:val="left" w:pos="1134"/>
        </w:tabs>
        <w:spacing w:before="0" w:beforeAutospacing="0" w:after="120" w:afterAutospacing="0"/>
        <w:ind w:left="0" w:firstLine="567"/>
        <w:jc w:val="both"/>
        <w:textAlignment w:val="baseline"/>
        <w:rPr>
          <w:color w:val="000000"/>
        </w:rPr>
      </w:pPr>
      <w:r>
        <w:rPr>
          <w:color w:val="000000"/>
        </w:rPr>
        <w:t>O prazo definido no item anterior poderá ser prorrogado por igual período, quando:</w:t>
      </w:r>
    </w:p>
    <w:p>
      <w:pPr>
        <w:pStyle w:val="3"/>
        <w:numPr>
          <w:ilvl w:val="2"/>
          <w:numId w:val="6"/>
        </w:numPr>
        <w:tabs>
          <w:tab w:val="left" w:pos="1134"/>
        </w:tabs>
        <w:spacing w:before="120" w:beforeAutospacing="0" w:after="0" w:afterAutospacing="0"/>
        <w:jc w:val="both"/>
        <w:textAlignment w:val="baseline"/>
        <w:rPr>
          <w:color w:val="000000"/>
        </w:rPr>
      </w:pPr>
      <w:r>
        <w:rPr>
          <w:color w:val="000000"/>
        </w:rPr>
        <w:t xml:space="preserve">solicitado pela licitante, mediante justificativa aceita pelo(a) </w:t>
      </w:r>
      <w:r>
        <w:t>Pregoeiro</w:t>
      </w:r>
      <w:r>
        <w:rPr>
          <w:color w:val="000000"/>
        </w:rPr>
        <w:t>; ou</w:t>
      </w:r>
    </w:p>
    <w:p>
      <w:pPr>
        <w:pStyle w:val="3"/>
        <w:numPr>
          <w:ilvl w:val="2"/>
          <w:numId w:val="6"/>
        </w:numPr>
        <w:tabs>
          <w:tab w:val="left" w:pos="1134"/>
        </w:tabs>
        <w:spacing w:before="0" w:beforeAutospacing="0" w:after="120" w:afterAutospacing="0"/>
        <w:jc w:val="both"/>
        <w:textAlignment w:val="baseline"/>
        <w:rPr>
          <w:color w:val="000000"/>
        </w:rPr>
      </w:pPr>
      <w:r>
        <w:rPr>
          <w:color w:val="000000"/>
        </w:rPr>
        <w:t xml:space="preserve">de ofício, a critério do(a) </w:t>
      </w:r>
      <w:r>
        <w:t>Pregoeiro</w:t>
      </w:r>
      <w:r>
        <w:rPr>
          <w:color w:val="000000"/>
        </w:rPr>
        <w:t>, quando constatado que o prazo estabelecido não é suficiente para o envio dos documentos exigidos.</w:t>
      </w:r>
    </w:p>
    <w:p>
      <w:pPr>
        <w:pStyle w:val="3"/>
        <w:numPr>
          <w:ilvl w:val="1"/>
          <w:numId w:val="1"/>
        </w:numPr>
        <w:tabs>
          <w:tab w:val="left" w:pos="1134"/>
        </w:tabs>
        <w:spacing w:before="120" w:beforeAutospacing="0" w:after="120" w:afterAutospacing="0"/>
        <w:ind w:left="0" w:firstLine="567"/>
        <w:jc w:val="both"/>
        <w:textAlignment w:val="baseline"/>
      </w:pPr>
      <w:r>
        <w:rPr>
          <w:color w:val="000000"/>
        </w:rPr>
        <w:t>A proposta de preços deverá ser elaborada com observância das seguintes exigências:</w:t>
      </w:r>
    </w:p>
    <w:p>
      <w:pPr>
        <w:pStyle w:val="3"/>
        <w:numPr>
          <w:ilvl w:val="2"/>
          <w:numId w:val="7"/>
        </w:numPr>
        <w:tabs>
          <w:tab w:val="left" w:pos="1134"/>
        </w:tabs>
        <w:spacing w:before="120" w:beforeAutospacing="0" w:after="0" w:afterAutospacing="0"/>
        <w:jc w:val="both"/>
        <w:textAlignment w:val="baseline"/>
      </w:pPr>
      <w:r>
        <w:rPr>
          <w:color w:val="000000"/>
        </w:rPr>
        <w:t>não conter cotações alternativas, emendas ou entrelinhas;</w:t>
      </w:r>
    </w:p>
    <w:p>
      <w:pPr>
        <w:pStyle w:val="3"/>
        <w:numPr>
          <w:ilvl w:val="2"/>
          <w:numId w:val="7"/>
        </w:numPr>
        <w:tabs>
          <w:tab w:val="left" w:pos="1134"/>
        </w:tabs>
        <w:spacing w:before="0" w:beforeAutospacing="0" w:after="0" w:afterAutospacing="0"/>
        <w:jc w:val="both"/>
        <w:textAlignment w:val="baseline"/>
      </w:pPr>
      <w:r>
        <w:rPr>
          <w:color w:val="000000"/>
        </w:rPr>
        <w:t>fazer menção ao número deste Edital, conter a razão social do licitante, seu CNPJ, dados bancários e endereço completo;</w:t>
      </w:r>
    </w:p>
    <w:p>
      <w:pPr>
        <w:pStyle w:val="3"/>
        <w:numPr>
          <w:ilvl w:val="3"/>
          <w:numId w:val="7"/>
        </w:numPr>
        <w:tabs>
          <w:tab w:val="left" w:pos="1134"/>
        </w:tabs>
        <w:spacing w:before="0" w:beforeAutospacing="0" w:after="0" w:afterAutospacing="0"/>
        <w:jc w:val="both"/>
        <w:textAlignment w:val="baseline"/>
      </w:pPr>
      <w:r>
        <w:rPr>
          <w:color w:val="000000"/>
        </w:rPr>
        <w:t>a falta do CNPJ e (ou) endereço completo poderá ser preenchida pelos dados constantes no sistema eletrônico.</w:t>
      </w:r>
    </w:p>
    <w:p>
      <w:pPr>
        <w:pStyle w:val="3"/>
        <w:numPr>
          <w:ilvl w:val="2"/>
          <w:numId w:val="7"/>
        </w:numPr>
        <w:tabs>
          <w:tab w:val="left" w:pos="1134"/>
        </w:tabs>
        <w:spacing w:before="0" w:beforeAutospacing="0" w:after="0" w:afterAutospacing="0"/>
        <w:jc w:val="both"/>
        <w:textAlignment w:val="baseline"/>
        <w:rPr>
          <w:color w:val="000000"/>
        </w:rPr>
      </w:pPr>
      <w:r>
        <w:rPr>
          <w:color w:val="000000"/>
        </w:rPr>
        <w:t>conter cotação de preço unitário e total para o item/lote ofertado, em moeda corrente nacional (Real), incluídos todos os tributos, taxas, fretes e demais encargos pertinentes, conforme Modelo de Proposta previsto no Anexo VI deste Edital;</w:t>
      </w:r>
    </w:p>
    <w:p>
      <w:pPr>
        <w:pStyle w:val="3"/>
        <w:numPr>
          <w:ilvl w:val="3"/>
          <w:numId w:val="7"/>
        </w:numPr>
        <w:tabs>
          <w:tab w:val="left" w:pos="1134"/>
        </w:tabs>
        <w:spacing w:before="0" w:beforeAutospacing="0" w:after="0" w:afterAutospacing="0"/>
        <w:jc w:val="both"/>
        <w:textAlignment w:val="baseline"/>
        <w:rPr>
          <w:color w:val="000000"/>
        </w:rPr>
      </w:pPr>
      <w:r>
        <w:rPr>
          <w:color w:val="000000"/>
        </w:rPr>
        <w:t xml:space="preserve">os custos relacionados ao fornecimento do objeto deverão ser detalhados para efeito de eventual reequilíbrio dos preços contratados; </w:t>
      </w:r>
    </w:p>
    <w:p>
      <w:pPr>
        <w:pStyle w:val="3"/>
        <w:numPr>
          <w:ilvl w:val="3"/>
          <w:numId w:val="7"/>
        </w:numPr>
        <w:tabs>
          <w:tab w:val="left" w:pos="1134"/>
        </w:tabs>
        <w:spacing w:before="0" w:beforeAutospacing="0" w:after="0" w:afterAutospacing="0"/>
        <w:jc w:val="both"/>
        <w:textAlignment w:val="baseline"/>
        <w:rPr>
          <w:color w:val="000000"/>
        </w:rPr>
      </w:pPr>
      <w:r>
        <w:rPr>
          <w:color w:val="000000"/>
        </w:rPr>
        <w:t xml:space="preserve">o preço unitário/total máximo para o item/lote é o que consta do </w:t>
      </w:r>
      <w:r>
        <w:rPr>
          <w:rStyle w:val="45"/>
          <w:color w:val="000000"/>
        </w:rPr>
        <w:t>Termo de Referência</w:t>
      </w:r>
      <w:r>
        <w:rPr>
          <w:color w:val="000000"/>
        </w:rPr>
        <w:t xml:space="preserve"> - Anexo I deste Edital;</w:t>
      </w:r>
    </w:p>
    <w:p>
      <w:pPr>
        <w:pStyle w:val="3"/>
        <w:numPr>
          <w:ilvl w:val="2"/>
          <w:numId w:val="7"/>
        </w:numPr>
        <w:tabs>
          <w:tab w:val="left" w:pos="1134"/>
        </w:tabs>
        <w:spacing w:before="0" w:beforeAutospacing="0" w:after="0" w:afterAutospacing="0"/>
        <w:jc w:val="both"/>
        <w:textAlignment w:val="baseline"/>
      </w:pPr>
      <w:r>
        <w:rPr>
          <w:color w:val="000000"/>
        </w:rPr>
        <w:t>conter a marca e, se existir, informar o modelo;</w:t>
      </w:r>
    </w:p>
    <w:p>
      <w:pPr>
        <w:pStyle w:val="3"/>
        <w:numPr>
          <w:ilvl w:val="3"/>
          <w:numId w:val="7"/>
        </w:numPr>
        <w:tabs>
          <w:tab w:val="left" w:pos="1134"/>
        </w:tabs>
        <w:spacing w:before="0" w:beforeAutospacing="0" w:after="0" w:afterAutospacing="0"/>
        <w:jc w:val="both"/>
        <w:textAlignment w:val="baseline"/>
        <w:rPr>
          <w:color w:val="000000"/>
        </w:rPr>
      </w:pPr>
      <w:r>
        <w:rPr>
          <w:color w:val="000000"/>
        </w:rPr>
        <w:t xml:space="preserve">será aceita a oferta de produtos com marcas diferentes da marca de referência, desde que apresentem qualidade igual ou superior, observado o </w:t>
      </w:r>
      <w:r>
        <w:fldChar w:fldCharType="begin"/>
      </w:r>
      <w:r>
        <w:rPr>
          <w:rStyle w:val="54"/>
        </w:rPr>
        <w:instrText xml:space="preserve"> HYPERLINK "https://www.planalto.gov.br/ccivil_03/_ato2019-2022/2021/lei/l14133.htm" \l "art42"</w:instrText>
      </w:r>
      <w:r>
        <w:rPr>
          <w:rStyle w:val="54"/>
        </w:rPr>
        <w:fldChar w:fldCharType="separate"/>
      </w:r>
      <w:r>
        <w:rPr>
          <w:rStyle w:val="54"/>
        </w:rPr>
        <w:t>art. 42 da Lei Federal nº 14.133, de 2021</w:t>
      </w:r>
      <w:r>
        <w:rPr>
          <w:rStyle w:val="54"/>
        </w:rPr>
        <w:fldChar w:fldCharType="end"/>
      </w:r>
      <w:r>
        <w:rPr>
          <w:color w:val="000000"/>
        </w:rPr>
        <w:t>.</w:t>
      </w:r>
    </w:p>
    <w:p>
      <w:pPr>
        <w:pStyle w:val="3"/>
        <w:numPr>
          <w:ilvl w:val="2"/>
          <w:numId w:val="7"/>
        </w:numPr>
        <w:tabs>
          <w:tab w:val="left" w:pos="1134"/>
        </w:tabs>
        <w:spacing w:before="0" w:beforeAutospacing="0" w:after="120" w:afterAutospacing="0"/>
        <w:jc w:val="both"/>
        <w:textAlignment w:val="baseline"/>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45"/>
          <w:color w:val="000000"/>
        </w:rPr>
        <w:t>Termo de Referência</w:t>
      </w:r>
      <w:r>
        <w:rPr>
          <w:color w:val="000000"/>
        </w:rPr>
        <w:t xml:space="preserve"> - Anexo I deste Edital, bem como quanto ao prazo de validade da proposta, não inferior a 60 (sessenta) dias, contados da data de sua entrega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§3º, da Lei Federal nº 14.133, de 2021</w:t>
      </w:r>
      <w:r>
        <w:rPr>
          <w:rStyle w:val="54"/>
        </w:rPr>
        <w:fldChar w:fldCharType="end"/>
      </w:r>
      <w:r>
        <w:rPr>
          <w:color w:val="000000"/>
        </w:rPr>
        <w:t>).</w:t>
      </w:r>
    </w:p>
    <w:p>
      <w:pPr>
        <w:pStyle w:val="2"/>
        <w:spacing w:before="360" w:after="0"/>
        <w:rPr>
          <w:rStyle w:val="45"/>
          <w:b w:val="0"/>
          <w:bCs w:val="0"/>
        </w:rPr>
      </w:pPr>
      <w:bookmarkStart w:id="24" w:name="_Toc149517447"/>
      <w:r>
        <w:rPr>
          <w:rStyle w:val="45"/>
        </w:rPr>
        <w:t>ACEITABILIDADE DA PROPOSTA</w:t>
      </w:r>
      <w:bookmarkEnd w:id="24"/>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Encerrada a etapa de negociação, o(a) </w:t>
      </w:r>
      <w: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Qualquer interessado poderá requerer que se realizem diligências para aferir a exequibilidade e a legalidade das propostas, devendo apresentar as provas ou os indícios que fundamentam a suspeita.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O(A) </w:t>
      </w:r>
      <w: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 prazo estabelecido no item anterior poderá ser prorrogado pelo(a) </w:t>
      </w:r>
      <w:r>
        <w:t>Pregoeiro</w:t>
      </w:r>
      <w:r>
        <w:rPr>
          <w:color w:val="000000"/>
        </w:rPr>
        <w:t xml:space="preserve"> por solicitação escrita e justificada do licitante, formulada antes de findo o prazo, e formalmente aceita pelo(a) </w:t>
      </w:r>
      <w:r>
        <w:t>Pregoeiro</w:t>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Para fins de análise da proposta quanto ao cumprimento das especificações do objeto, poderá ser colhida a manifestação escrita do setor requisitante do produto ou da área especializada no objeto.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Se a proposta ou lance vencedor for desclassificado, o(a) </w:t>
      </w:r>
      <w:r>
        <w:t>Pregoeiro</w:t>
      </w:r>
      <w:r>
        <w:rPr>
          <w:color w:val="000000"/>
        </w:rPr>
        <w:t xml:space="preserve"> examinará a proposta ou lance subsequente, e, assim sucessivamente, na ordem de classificação.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O(A) </w:t>
      </w:r>
      <w: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Também nas hipóteses em que o(a) </w:t>
      </w:r>
      <w: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Sempre que a proposta não for aceita, e antes de o(a) </w:t>
      </w:r>
      <w:r>
        <w:t>Pregoeiro</w:t>
      </w:r>
      <w:r>
        <w:rPr>
          <w:color w:val="000000"/>
        </w:rPr>
        <w:t xml:space="preserve"> passar à subsequente, haverá nova verificação, pelo sistema, da eventual ocorrência do empate ficto, previsto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seguindo-se a disciplina antes estabelecida, se for o caso.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Havendo necessidade, o(a) </w:t>
      </w:r>
      <w: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Encerrada a análise quanto à aceitação da proposta, o(a) </w:t>
      </w:r>
      <w:r>
        <w:t>Pregoeiro</w:t>
      </w:r>
      <w:r>
        <w:rPr>
          <w:color w:val="000000"/>
        </w:rPr>
        <w:t xml:space="preserve"> verificará a habilitação do licitante classificado em primeiro lugar, observado o disposto neste Edital.</w:t>
      </w:r>
    </w:p>
    <w:p>
      <w:pPr>
        <w:pStyle w:val="2"/>
        <w:spacing w:before="360" w:after="0"/>
        <w:rPr>
          <w:rStyle w:val="45"/>
          <w:b w:val="0"/>
          <w:bCs w:val="0"/>
        </w:rPr>
      </w:pPr>
      <w:bookmarkStart w:id="25" w:name="_Toc149517448"/>
      <w:r>
        <w:rPr>
          <w:rStyle w:val="45"/>
        </w:rPr>
        <w:t>HABILITAÇÃO DA LICITANTE CLASSIFICADA EM PRIMEIRO LUGAR</w:t>
      </w:r>
      <w:bookmarkEnd w:id="25"/>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O licitante classificado em primeiro lugar na fase de propostas deverá encaminhar, nos termos deste Edital, a documentação relacionada nos itens a seguir, para fins de habilitação:</w:t>
      </w:r>
    </w:p>
    <w:p>
      <w:pPr>
        <w:pStyle w:val="3"/>
        <w:numPr>
          <w:ilvl w:val="2"/>
          <w:numId w:val="1"/>
        </w:numPr>
        <w:tabs>
          <w:tab w:val="left" w:pos="1134"/>
        </w:tabs>
        <w:spacing w:before="0" w:beforeAutospacing="0" w:after="0" w:afterAutospacing="0"/>
        <w:jc w:val="both"/>
        <w:textAlignment w:val="baseline"/>
        <w:rPr>
          <w:color w:val="000000"/>
        </w:rPr>
      </w:pPr>
      <w:r>
        <w:rPr>
          <w:color w:val="000000"/>
        </w:rPr>
        <w:t>Habilitação Jurídica;</w:t>
      </w:r>
    </w:p>
    <w:p>
      <w:pPr>
        <w:pStyle w:val="3"/>
        <w:numPr>
          <w:ilvl w:val="2"/>
          <w:numId w:val="1"/>
        </w:numPr>
        <w:tabs>
          <w:tab w:val="left" w:pos="1134"/>
        </w:tabs>
        <w:spacing w:before="0" w:beforeAutospacing="0" w:after="0" w:afterAutospacing="0"/>
        <w:jc w:val="both"/>
        <w:textAlignment w:val="baseline"/>
        <w:rPr>
          <w:color w:val="000000"/>
        </w:rPr>
      </w:pPr>
      <w:r>
        <w:rPr>
          <w:color w:val="000000"/>
        </w:rPr>
        <w:t>Qualificação Técnica;</w:t>
      </w:r>
    </w:p>
    <w:p>
      <w:pPr>
        <w:pStyle w:val="3"/>
        <w:numPr>
          <w:ilvl w:val="2"/>
          <w:numId w:val="1"/>
        </w:numPr>
        <w:tabs>
          <w:tab w:val="left" w:pos="1134"/>
        </w:tabs>
        <w:spacing w:before="0" w:beforeAutospacing="0" w:after="0" w:afterAutospacing="0"/>
        <w:jc w:val="both"/>
        <w:textAlignment w:val="baseline"/>
        <w:rPr>
          <w:color w:val="000000"/>
        </w:rPr>
      </w:pPr>
      <w:r>
        <w:rPr>
          <w:color w:val="000000"/>
        </w:rPr>
        <w:t>Regularidade Fiscal, Social e Trabalhista;</w:t>
      </w:r>
    </w:p>
    <w:p>
      <w:pPr>
        <w:pStyle w:val="3"/>
        <w:numPr>
          <w:ilvl w:val="2"/>
          <w:numId w:val="1"/>
        </w:numPr>
        <w:tabs>
          <w:tab w:val="left" w:pos="1134"/>
        </w:tabs>
        <w:spacing w:before="0" w:beforeAutospacing="0" w:after="0" w:afterAutospacing="0"/>
        <w:jc w:val="both"/>
        <w:textAlignment w:val="baseline"/>
        <w:rPr>
          <w:color w:val="000000"/>
        </w:rPr>
      </w:pPr>
      <w:r>
        <w:rPr>
          <w:color w:val="000000"/>
        </w:rPr>
        <w:t>Outros Documentos.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documentação de habilitação poderá ser:</w:t>
      </w:r>
    </w:p>
    <w:p>
      <w:pPr>
        <w:pStyle w:val="3"/>
        <w:numPr>
          <w:ilvl w:val="2"/>
          <w:numId w:val="1"/>
        </w:numPr>
        <w:tabs>
          <w:tab w:val="left" w:pos="1134"/>
        </w:tabs>
        <w:spacing w:before="0" w:beforeAutospacing="0" w:after="0" w:afterAutospacing="0"/>
        <w:jc w:val="both"/>
        <w:textAlignment w:val="baseline"/>
        <w:rPr>
          <w:color w:val="000000"/>
        </w:rPr>
      </w:pPr>
      <w:bookmarkStart w:id="26" w:name="art70i"/>
      <w:bookmarkEnd w:id="26"/>
      <w:r>
        <w:rPr>
          <w:color w:val="000000"/>
        </w:rPr>
        <w:t>apresentada em original, por cópia ou por qualquer outro meio expressamente admitido pela Administração (</w:t>
      </w:r>
      <w:r>
        <w:fldChar w:fldCharType="begin"/>
      </w:r>
      <w:r>
        <w:rPr>
          <w:rStyle w:val="54"/>
        </w:rPr>
        <w:instrText xml:space="preserve"> HYPERLINK "https://www.planalto.gov.br/ccivil_03/_ato2019-2022/2021/lei/l14133.htm" \l "art70"</w:instrText>
      </w:r>
      <w:r>
        <w:rPr>
          <w:rStyle w:val="54"/>
        </w:rPr>
        <w:fldChar w:fldCharType="separate"/>
      </w:r>
      <w:r>
        <w:rPr>
          <w:rStyle w:val="54"/>
        </w:rPr>
        <w:t>art. 70, I, da Lei Federal nº 14.133, de 2021</w:t>
      </w:r>
      <w:r>
        <w:rPr>
          <w:rStyle w:val="54"/>
        </w:rPr>
        <w:fldChar w:fldCharType="end"/>
      </w:r>
      <w:r>
        <w:rPr>
          <w:color w:val="000000"/>
        </w:rPr>
        <w:t xml:space="preserve">); </w:t>
      </w:r>
    </w:p>
    <w:p>
      <w:pPr>
        <w:pStyle w:val="3"/>
        <w:numPr>
          <w:ilvl w:val="2"/>
          <w:numId w:val="1"/>
        </w:numPr>
        <w:tabs>
          <w:tab w:val="left" w:pos="1134"/>
        </w:tabs>
        <w:spacing w:before="0" w:beforeAutospacing="0" w:after="0" w:afterAutospacing="0"/>
        <w:jc w:val="both"/>
        <w:textAlignment w:val="baseline"/>
        <w:rPr>
          <w:color w:val="000000"/>
        </w:rPr>
      </w:pPr>
      <w:bookmarkStart w:id="27" w:name="art70ii"/>
      <w:bookmarkEnd w:id="27"/>
      <w:r>
        <w:rPr>
          <w:color w:val="000000"/>
        </w:rPr>
        <w:t>substituída por registro cadastral unificado disponível no PNCP - Portal Nacional de Contratações Públicas (</w:t>
      </w:r>
      <w:r>
        <w:fldChar w:fldCharType="begin"/>
      </w:r>
      <w:r>
        <w:rPr>
          <w:rStyle w:val="54"/>
        </w:rPr>
        <w:instrText xml:space="preserve"> HYPERLINK "https://www.planalto.gov.br/ccivil_03/_ato2019-2022/2021/lei/l14133.htm" \l "art87"</w:instrText>
      </w:r>
      <w:r>
        <w:rPr>
          <w:rStyle w:val="54"/>
        </w:rPr>
        <w:fldChar w:fldCharType="separate"/>
      </w:r>
      <w:r>
        <w:rPr>
          <w:rStyle w:val="54"/>
        </w:rPr>
        <w:t>art. 87 da Lei Federal nº 14.133, de 2021</w:t>
      </w:r>
      <w:r>
        <w:rPr>
          <w:rStyle w:val="54"/>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4"/>
        </w:rPr>
        <w:t>Instrução Normativa nº 3, de 2018</w:t>
      </w:r>
      <w:r>
        <w:rPr>
          <w:rStyle w:val="54"/>
        </w:rPr>
        <w:fldChar w:fldCharType="end"/>
      </w:r>
      <w:r>
        <w:rPr>
          <w:color w:val="000000"/>
        </w:rPr>
        <w:t>, do Secretário de Gestão do Ministério do Planejamento, Desenvolvimento e Gestão).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 envio dos documentos de habilitação exigidos neste Edital, ocorrerá por meio de chave de acesso e senha.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rStyle w:val="54"/>
        </w:rPr>
        <w:instrText xml:space="preserve"> HYPERLINK "https://www.planalto.gov.br/ccivil_03/_ato2019-2022/2021/lei/l14133.htm" \l "art87"</w:instrText>
      </w:r>
      <w:r>
        <w:rPr>
          <w:rStyle w:val="54"/>
        </w:rPr>
        <w:fldChar w:fldCharType="separate"/>
      </w:r>
      <w:r>
        <w:rPr>
          <w:rStyle w:val="54"/>
        </w:rPr>
        <w:t>art. 87 da Lei Federal nº 14.133, de 2021</w:t>
      </w:r>
      <w:r>
        <w:rPr>
          <w:rStyle w:val="54"/>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4"/>
        </w:rPr>
        <w:t>Instrução Normativa nº 3, de 2018</w:t>
      </w:r>
      <w:r>
        <w:rPr>
          <w:rStyle w:val="54"/>
        </w:rPr>
        <w:fldChar w:fldCharType="end"/>
      </w:r>
      <w:r>
        <w:rPr>
          <w:color w:val="000000"/>
        </w:rPr>
        <w:t>, do Secretário de Gestão do Ministério do Planejamento, Desenvolvimento e Gestão).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3"/>
        <w:numPr>
          <w:ilvl w:val="1"/>
          <w:numId w:val="1"/>
        </w:numPr>
        <w:tabs>
          <w:tab w:val="left" w:pos="1134"/>
        </w:tabs>
        <w:spacing w:before="0" w:beforeAutospacing="0" w:after="0" w:afterAutospacing="0"/>
        <w:ind w:left="0" w:firstLine="567"/>
        <w:jc w:val="both"/>
        <w:textAlignment w:val="baseline"/>
        <w:rPr>
          <w:color w:val="000000"/>
        </w:rPr>
      </w:pPr>
      <w:r>
        <w:t>É de responsabilidade do licitante conferir a exatidão dos seus dados cadastrais no registro cadastral unificado do PNCP (</w:t>
      </w:r>
      <w:r>
        <w:fldChar w:fldCharType="begin"/>
      </w:r>
      <w:r>
        <w:instrText xml:space="preserve"> HYPERLINK "https://pncp.gov.br/" \h </w:instrText>
      </w:r>
      <w:r>
        <w:fldChar w:fldCharType="separate"/>
      </w:r>
      <w:r>
        <w:rPr>
          <w:rStyle w:val="54"/>
        </w:rPr>
        <w:t>https://pncp.gov.br/</w:t>
      </w:r>
      <w:r>
        <w:rPr>
          <w:rStyle w:val="54"/>
        </w:rPr>
        <w:fldChar w:fldCharType="end"/>
      </w:r>
      <w:r>
        <w:t>) ou do SICAF e mantê-los atualizados junto aos órgãos responsáveis pela informação, devendo proceder, imediatamente, à correção ou à alteração dos registros tão logo identifique incorreção ou aqueles se tornem desatualizados.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rStyle w:val="54"/>
        </w:rPr>
        <w:instrText xml:space="preserve"> HYPERLINK "https://www.planalto.gov.br/ccivil_03/leis/lcp/lcp123.htm" \l "art43"</w:instrText>
      </w:r>
      <w:r>
        <w:rPr>
          <w:rStyle w:val="54"/>
        </w:rPr>
        <w:fldChar w:fldCharType="separate"/>
      </w:r>
      <w:r>
        <w:rPr>
          <w:rStyle w:val="54"/>
        </w:rPr>
        <w:t>art. 43, § 1º, da Lei Complementar Federal nº 123, de 2006</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i/>
          <w:iCs/>
        </w:rPr>
      </w:pPr>
      <w:r>
        <w:t xml:space="preserve">Na </w:t>
      </w:r>
      <w:r>
        <w:rPr>
          <w:color w:val="000000"/>
        </w:rPr>
        <w:t>hipótese</w:t>
      </w:r>
      <w: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4"/>
        </w:rPr>
        <w:t>Decreto Federal nº 8.660, de 2016</w:t>
      </w:r>
      <w:r>
        <w:rPr>
          <w:rStyle w:val="54"/>
        </w:rPr>
        <w:fldChar w:fldCharType="end"/>
      </w:r>
      <w:r>
        <w:t>, ou de outro que venha a substituí-lo, ou consularizados pelos respectivos consulados ou embaixadas.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Até a abertura da sessão pública, os licitantes poderão retirar ou substituir os documentos de habilitação anteriormente inseridos no sistema.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Os documentos que compõem a proposta e a habilitação do licitante melhor classificado somente serão disponibilizados para avaliação do(a) </w:t>
      </w:r>
      <w:r>
        <w:t>Pregoeiro</w:t>
      </w:r>
      <w:r>
        <w:rPr>
          <w:color w:val="000000"/>
        </w:rPr>
        <w:t xml:space="preserve"> e para acesso público após o encerramento da fase de lances.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Como condição prévia ao exame da documentação de habilitação do licitante detentor da proposta classificada em primeiro lugar, o(a) </w:t>
      </w:r>
      <w: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3"/>
        <w:numPr>
          <w:ilvl w:val="2"/>
          <w:numId w:val="1"/>
        </w:numPr>
        <w:tabs>
          <w:tab w:val="left" w:pos="1134"/>
        </w:tabs>
        <w:spacing w:before="0" w:beforeAutospacing="0" w:after="0" w:afterAutospacing="0"/>
        <w:jc w:val="both"/>
        <w:textAlignment w:val="baseline"/>
        <w:rPr>
          <w:color w:val="000000"/>
        </w:rPr>
      </w:pPr>
      <w:r>
        <w:rPr>
          <w:color w:val="000000"/>
        </w:rPr>
        <w:t>Cadastro Nacional de Empresas Punidas – CNEP, mantido pela Controladoria-Geral da União (CGU);</w:t>
      </w:r>
    </w:p>
    <w:p>
      <w:pPr>
        <w:pStyle w:val="3"/>
        <w:numPr>
          <w:ilvl w:val="2"/>
          <w:numId w:val="1"/>
        </w:numPr>
        <w:tabs>
          <w:tab w:val="left" w:pos="1134"/>
        </w:tabs>
        <w:spacing w:before="0" w:beforeAutospacing="0" w:after="0" w:afterAutospacing="0"/>
        <w:jc w:val="both"/>
        <w:textAlignment w:val="baseline"/>
        <w:rPr>
          <w:color w:val="000000"/>
        </w:rPr>
      </w:pPr>
      <w:r>
        <w:rPr>
          <w:color w:val="000000"/>
        </w:rPr>
        <w:t>Cadastro Nacional de Empresas Inidôneas e Suspensas – CEIS, mantido pela Controladoria-Geral da União (CGU);</w:t>
      </w:r>
    </w:p>
    <w:p>
      <w:pPr>
        <w:pStyle w:val="3"/>
        <w:numPr>
          <w:ilvl w:val="2"/>
          <w:numId w:val="1"/>
        </w:numPr>
        <w:tabs>
          <w:tab w:val="left" w:pos="1134"/>
        </w:tabs>
        <w:spacing w:before="0" w:beforeAutospacing="0" w:after="0" w:afterAutospacing="0"/>
        <w:jc w:val="both"/>
        <w:textAlignment w:val="baseline"/>
        <w:rPr>
          <w:color w:val="000000"/>
        </w:rPr>
      </w:pPr>
      <w:r>
        <w:rPr>
          <w:color w:val="000000"/>
        </w:rPr>
        <w:t>Cadastro Nacional de Condenações Cíveis por Atos de Improbidade Administrativa, mantido pelo Conselho Nacional de Justiça (CNJ);</w:t>
      </w:r>
    </w:p>
    <w:p>
      <w:pPr>
        <w:pStyle w:val="3"/>
        <w:numPr>
          <w:ilvl w:val="2"/>
          <w:numId w:val="1"/>
        </w:numPr>
        <w:tabs>
          <w:tab w:val="left" w:pos="1134"/>
        </w:tabs>
        <w:spacing w:before="0" w:beforeAutospacing="0" w:after="0" w:afterAutospacing="0"/>
        <w:jc w:val="both"/>
        <w:textAlignment w:val="baseline"/>
        <w:rPr>
          <w:color w:val="000000"/>
        </w:rPr>
      </w:pPr>
      <w:r>
        <w:rPr>
          <w:color w:val="000000"/>
        </w:rPr>
        <w:t>Sistema de Inabilitados e Inidôneos, mantida pelo Tribunal de Contas da União;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 consulta aos cadastros será realizada em nome da empresa licitante e também de seu sócio majoritário, por força do </w:t>
      </w:r>
      <w:r>
        <w:fldChar w:fldCharType="begin"/>
      </w:r>
      <w:r>
        <w:rPr>
          <w:rStyle w:val="54"/>
        </w:rPr>
        <w:instrText xml:space="preserve"> HYPERLINK "https://www.planalto.gov.br/ccivil_03/leis/l8429.htm" \l "art12"</w:instrText>
      </w:r>
      <w:r>
        <w:rPr>
          <w:rStyle w:val="54"/>
        </w:rPr>
        <w:fldChar w:fldCharType="separate"/>
      </w:r>
      <w:r>
        <w:rPr>
          <w:rStyle w:val="54"/>
        </w:rPr>
        <w:t>art. 12 da Lei Federal nº 8.429, de 1992</w:t>
      </w:r>
      <w:r>
        <w:rPr>
          <w:rStyle w:val="54"/>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Caso conste na Consulta de Situação do Fornecedor a existência de Ocorrências Impeditivas Indiretas, o(a) </w:t>
      </w:r>
      <w:r>
        <w:t>Pregoeiro</w:t>
      </w:r>
      <w:r>
        <w:rPr>
          <w:color w:val="000000"/>
        </w:rPr>
        <w:t xml:space="preserve"> diligenciará para verificar se houve fraude por parte das empresas apontadas no Relatório de Ocorrências Impeditivas Indiretas, seguindo os seguintes procedimentos:</w:t>
      </w:r>
    </w:p>
    <w:p>
      <w:pPr>
        <w:pStyle w:val="3"/>
        <w:numPr>
          <w:ilvl w:val="2"/>
          <w:numId w:val="1"/>
        </w:numPr>
        <w:tabs>
          <w:tab w:val="left" w:pos="1134"/>
        </w:tabs>
        <w:spacing w:before="0" w:beforeAutospacing="0" w:after="0" w:afterAutospacing="0"/>
        <w:jc w:val="both"/>
        <w:textAlignment w:val="baseline"/>
        <w:rPr>
          <w:color w:val="000000"/>
        </w:rPr>
      </w:pPr>
      <w:r>
        <w:rPr>
          <w:color w:val="000000"/>
        </w:rPr>
        <w:t>A tentativa de burla será verificada por meio dos vínculos societários, linhas de fornecimento similares, dentre outros;</w:t>
      </w:r>
    </w:p>
    <w:p>
      <w:pPr>
        <w:pStyle w:val="3"/>
        <w:numPr>
          <w:ilvl w:val="2"/>
          <w:numId w:val="1"/>
        </w:numPr>
        <w:tabs>
          <w:tab w:val="left" w:pos="1134"/>
        </w:tabs>
        <w:spacing w:before="0" w:beforeAutospacing="0" w:after="0" w:afterAutospacing="0"/>
        <w:jc w:val="both"/>
        <w:textAlignment w:val="baseline"/>
        <w:rPr>
          <w:color w:val="000000"/>
        </w:rPr>
      </w:pPr>
      <w:r>
        <w:rPr>
          <w:color w:val="000000"/>
        </w:rPr>
        <w:t>O licitante será convocado para manifestação previamente à sua inabilitação;</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Constatada a existência de sanção, o(a) </w:t>
      </w:r>
      <w:r>
        <w:t>Pregoeiro</w:t>
      </w:r>
      <w:r>
        <w:rPr>
          <w:color w:val="000000"/>
        </w:rPr>
        <w:t xml:space="preserve"> reputará o licitante inabilitado, por falta de condição de participação;</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No caso de inabilitação, haverá nova verificação, pelo sistema, da eventual ocorrência do empate ficto, previsto nos </w:t>
      </w:r>
      <w:r>
        <w:fldChar w:fldCharType="begin"/>
      </w:r>
      <w:r>
        <w:rPr>
          <w:rStyle w:val="54"/>
        </w:rPr>
        <w:instrText xml:space="preserve"> HYPERLINK "https://www.planalto.gov.br/ccivil_03/leis/lcp/lcp123.htm" \l "art44"</w:instrText>
      </w:r>
      <w:r>
        <w:rPr>
          <w:rStyle w:val="54"/>
        </w:rPr>
        <w:fldChar w:fldCharType="separate"/>
      </w:r>
      <w:r>
        <w:rPr>
          <w:rStyle w:val="54"/>
        </w:rPr>
        <w:t>arts. 44 e 45 da Lei Complementar Federal nº 123, de 2006</w:t>
      </w:r>
      <w:r>
        <w:rPr>
          <w:rStyle w:val="54"/>
        </w:rPr>
        <w:fldChar w:fldCharType="end"/>
      </w:r>
      <w:r>
        <w:rPr>
          <w:color w:val="000000"/>
        </w:rPr>
        <w:t>, seguindo-se a disciplina antes estabelecida para aceitação da proposta subsequente.</w:t>
      </w:r>
    </w:p>
    <w:p>
      <w:pPr>
        <w:pStyle w:val="3"/>
        <w:numPr>
          <w:ilvl w:val="1"/>
          <w:numId w:val="1"/>
        </w:numPr>
        <w:tabs>
          <w:tab w:val="left" w:pos="1134"/>
        </w:tabs>
        <w:spacing w:before="0" w:beforeAutospacing="0" w:after="0" w:afterAutospacing="0"/>
        <w:ind w:left="0" w:firstLine="567"/>
        <w:jc w:val="both"/>
        <w:textAlignment w:val="baseline"/>
        <w:rPr>
          <w:color w:val="000000"/>
        </w:rPr>
      </w:pPr>
      <w:r>
        <w:t>Após a entrega dos documentos para habilitação, não será permitida a substituição ou a apresentação de novos documentos, salvo em sede de diligência, para (</w:t>
      </w:r>
      <w:r>
        <w:fldChar w:fldCharType="begin"/>
      </w:r>
      <w:r>
        <w:rPr>
          <w:rStyle w:val="54"/>
        </w:rPr>
        <w:instrText xml:space="preserve"> HYPERLINK "http://www.planalto.gov.br/ccivil_03/_ato2019-2022/2021/lei/L14133.htm" \l "art64"</w:instrText>
      </w:r>
      <w:r>
        <w:rPr>
          <w:rStyle w:val="54"/>
        </w:rPr>
        <w:fldChar w:fldCharType="separate"/>
      </w:r>
      <w:r>
        <w:rPr>
          <w:rStyle w:val="54"/>
        </w:rPr>
        <w:t>art. 64 da Lei Federal nº 14.133, de 2021</w:t>
      </w:r>
      <w:r>
        <w:rPr>
          <w:rStyle w:val="54"/>
        </w:rPr>
        <w:fldChar w:fldCharType="end"/>
      </w:r>
      <w:r>
        <w:t>):</w:t>
      </w:r>
    </w:p>
    <w:p>
      <w:pPr>
        <w:pStyle w:val="3"/>
        <w:numPr>
          <w:ilvl w:val="2"/>
          <w:numId w:val="1"/>
        </w:numPr>
        <w:tabs>
          <w:tab w:val="left" w:pos="1134"/>
        </w:tabs>
        <w:spacing w:before="0" w:beforeAutospacing="0" w:after="0" w:afterAutospacing="0"/>
        <w:jc w:val="both"/>
        <w:textAlignment w:val="baseline"/>
      </w:pPr>
      <w:r>
        <w:t>complementação de informações acerca dos documentos já apresentados pelos licitantes e desde que necessária para apurar fatos existentes à época da abertura do certame;</w:t>
      </w:r>
    </w:p>
    <w:p>
      <w:pPr>
        <w:pStyle w:val="3"/>
        <w:numPr>
          <w:ilvl w:val="2"/>
          <w:numId w:val="1"/>
        </w:numPr>
        <w:tabs>
          <w:tab w:val="left" w:pos="1134"/>
        </w:tabs>
        <w:spacing w:before="0" w:beforeAutospacing="0" w:after="0" w:afterAutospacing="0"/>
        <w:jc w:val="both"/>
        <w:textAlignment w:val="baseline"/>
      </w:pPr>
      <w:r>
        <w:t>atualização de documentos cuja validade tenha expirado após a data de recebimento das propostas.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Somente poderá haver a prorrogação no prazo do item anterior, caso o licitante solicite sua prorrogação dentro do tempo limite concedido.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t>ou quando a lei expressamente o exigir</w:t>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Não serão aceitos documentos de habilitação com indicação de CNPJ/CPF diferentes, salvo aqueles legalmente permitidos.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3"/>
        <w:numPr>
          <w:ilvl w:val="1"/>
          <w:numId w:val="1"/>
        </w:numPr>
        <w:tabs>
          <w:tab w:val="left" w:pos="1134"/>
        </w:tabs>
        <w:spacing w:before="0" w:beforeAutospacing="0" w:after="0" w:afterAutospacing="0"/>
        <w:ind w:left="0" w:firstLine="567"/>
        <w:jc w:val="both"/>
        <w:textAlignment w:val="baseline"/>
        <w:rPr>
          <w:color w:val="000000"/>
        </w:rPr>
      </w:pPr>
      <w:r>
        <w:t>Na análise dos documentos de habilitação, o(a)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3"/>
        <w:numPr>
          <w:ilvl w:val="1"/>
          <w:numId w:val="1"/>
        </w:numPr>
        <w:tabs>
          <w:tab w:val="left" w:pos="1134"/>
        </w:tabs>
        <w:spacing w:before="0" w:beforeAutospacing="0" w:after="0" w:afterAutospacing="0"/>
        <w:ind w:left="0" w:firstLine="567"/>
        <w:jc w:val="both"/>
        <w:textAlignment w:val="baseline"/>
      </w:pPr>
      <w:bookmarkStart w:id="28" w:name="art64§1"/>
      <w:bookmarkEnd w:id="28"/>
      <w:bookmarkStart w:id="29" w:name="art64§2"/>
      <w:bookmarkEnd w:id="29"/>
      <w:r>
        <w:rPr>
          <w:color w:val="000000"/>
        </w:rPr>
        <w:t>Para os documentos que têm prazo de validade e este não estiver expresso no documento, será considerada a validade de 90 (noventa) dias, a partir de sua emissão, se outro prazo não estiver fixado em lei.</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Havendo necessidade de analisar minuciosamente os documentos exigidos, o(a) </w:t>
      </w:r>
      <w:r>
        <w:t>Pregoeiro</w:t>
      </w:r>
      <w:r>
        <w:rPr>
          <w:color w:val="000000"/>
        </w:rPr>
        <w:t xml:space="preserve"> suspenderá a sessão, informando no “</w:t>
      </w:r>
      <w:r>
        <w:rPr>
          <w:i/>
          <w:iCs/>
          <w:color w:val="000000"/>
        </w:rPr>
        <w:t>chat</w:t>
      </w:r>
      <w:r>
        <w:rPr>
          <w:color w:val="000000"/>
        </w:rPr>
        <w:t>” a nova data e horário para a continuidade.</w:t>
      </w:r>
    </w:p>
    <w:p>
      <w:pPr>
        <w:pStyle w:val="3"/>
        <w:numPr>
          <w:ilvl w:val="1"/>
          <w:numId w:val="1"/>
        </w:numPr>
        <w:tabs>
          <w:tab w:val="left" w:pos="1134"/>
        </w:tabs>
        <w:spacing w:before="0" w:beforeAutospacing="0" w:after="0" w:afterAutospacing="0"/>
        <w:ind w:left="0" w:firstLine="567"/>
        <w:jc w:val="both"/>
        <w:textAlignment w:val="baseline"/>
        <w:rPr>
          <w:color w:val="000000" w:themeColor="text1"/>
        </w:rPr>
      </w:pPr>
      <w:r>
        <w:rPr>
          <w:color w:val="000000" w:themeColor="text1"/>
        </w:rPr>
        <w:t xml:space="preserve">Atendidas </w:t>
      </w:r>
      <w:r>
        <w:rPr>
          <w:color w:val="000000"/>
        </w:rPr>
        <w:t>todas</w:t>
      </w:r>
      <w:r>
        <w:rPr>
          <w:color w:val="000000" w:themeColor="text1"/>
        </w:rPr>
        <w:t xml:space="preserve"> as disposições deste Edital, a licitante classificada em primeiro lugar será declarada vencedora da licitação.</w:t>
      </w:r>
    </w:p>
    <w:p>
      <w:pPr>
        <w:pStyle w:val="3"/>
        <w:numPr>
          <w:ilvl w:val="1"/>
          <w:numId w:val="1"/>
        </w:numPr>
        <w:tabs>
          <w:tab w:val="left" w:pos="1134"/>
        </w:tabs>
        <w:spacing w:before="0" w:beforeAutospacing="0" w:after="0" w:afterAutospacing="0"/>
        <w:ind w:left="0" w:firstLine="567"/>
        <w:jc w:val="both"/>
        <w:textAlignment w:val="baseline"/>
        <w:rPr>
          <w:color w:val="000000" w:themeColor="text1"/>
        </w:rPr>
      </w:pPr>
      <w:r>
        <w:rPr>
          <w:color w:val="000000" w:themeColor="text1"/>
        </w:rPr>
        <w:t>Serão disponibilizados para acesso público os documentos que compõem a proposta dos licitantes convocados para apresentação de propostas, após a fase de envio de lances.</w:t>
      </w:r>
    </w:p>
    <w:p>
      <w:pPr>
        <w:pStyle w:val="2"/>
        <w:spacing w:before="360" w:after="0"/>
        <w:rPr>
          <w:rStyle w:val="45"/>
          <w:b w:val="0"/>
          <w:bCs w:val="0"/>
        </w:rPr>
      </w:pPr>
      <w:bookmarkStart w:id="30" w:name="_Toc149517449"/>
      <w:r>
        <w:rPr>
          <w:rStyle w:val="45"/>
        </w:rPr>
        <w:t>HABILITAÇÃO JURÍDICA</w:t>
      </w:r>
      <w:bookmarkEnd w:id="30"/>
    </w:p>
    <w:p>
      <w:pPr>
        <w:pStyle w:val="3"/>
        <w:numPr>
          <w:ilvl w:val="1"/>
          <w:numId w:val="1"/>
        </w:numPr>
        <w:tabs>
          <w:tab w:val="left" w:pos="1134"/>
        </w:tabs>
        <w:spacing w:before="120" w:beforeAutospacing="0" w:after="120" w:afterAutospacing="0"/>
        <w:ind w:left="0" w:firstLine="567"/>
        <w:jc w:val="both"/>
        <w:textAlignment w:val="baseline"/>
        <w:rPr>
          <w:color w:val="000000"/>
        </w:rPr>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rStyle w:val="54"/>
        </w:rPr>
        <w:instrText xml:space="preserve"> HYPERLINK "https://www.planalto.gov.br/ccivil_03/_ato2019-2022/2021/lei/l14133.htm" \l "art66"</w:instrText>
      </w:r>
      <w:r>
        <w:rPr>
          <w:rStyle w:val="54"/>
        </w:rPr>
        <w:fldChar w:fldCharType="separate"/>
      </w:r>
      <w:r>
        <w:rPr>
          <w:rStyle w:val="54"/>
        </w:rPr>
        <w:t>art. 66 da Lei Federal nº 14.133, de 2021</w:t>
      </w:r>
      <w:r>
        <w:rPr>
          <w:rStyle w:val="54"/>
        </w:rPr>
        <w:fldChar w:fldCharType="end"/>
      </w:r>
      <w:r>
        <w:rPr>
          <w:color w:val="000000"/>
        </w:rPr>
        <w:t>), nos seguintes termos:</w:t>
      </w:r>
    </w:p>
    <w:p>
      <w:pPr>
        <w:pStyle w:val="3"/>
        <w:numPr>
          <w:ilvl w:val="2"/>
          <w:numId w:val="8"/>
        </w:numPr>
        <w:tabs>
          <w:tab w:val="left" w:pos="1134"/>
        </w:tabs>
        <w:spacing w:before="120" w:beforeAutospacing="0" w:after="0" w:afterAutospacing="0"/>
        <w:jc w:val="both"/>
        <w:textAlignment w:val="baseline"/>
        <w:rPr>
          <w:color w:val="000000"/>
        </w:rPr>
      </w:pPr>
      <w:r>
        <w:rPr>
          <w:color w:val="000000"/>
        </w:rPr>
        <w:t>No caso de empresário individual, inscrição no Registro Público de Empresas Mercantis, a cargo da Junta Comercial da respectiva sede;</w:t>
      </w:r>
    </w:p>
    <w:p>
      <w:pPr>
        <w:pStyle w:val="3"/>
        <w:numPr>
          <w:ilvl w:val="2"/>
          <w:numId w:val="8"/>
        </w:numPr>
        <w:tabs>
          <w:tab w:val="left" w:pos="1134"/>
        </w:tabs>
        <w:spacing w:before="0" w:beforeAutospacing="0" w:after="0" w:afterAutospacing="0"/>
        <w:jc w:val="both"/>
        <w:textAlignment w:val="baseline"/>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3"/>
        <w:numPr>
          <w:ilvl w:val="2"/>
          <w:numId w:val="8"/>
        </w:numPr>
        <w:tabs>
          <w:tab w:val="left" w:pos="1134"/>
        </w:tabs>
        <w:spacing w:before="0" w:beforeAutospacing="0" w:after="0" w:afterAutospacing="0"/>
        <w:jc w:val="both"/>
        <w:textAlignment w:val="baseline"/>
        <w:rPr>
          <w:color w:val="000000"/>
        </w:rPr>
      </w:pPr>
      <w:r>
        <w:t>No caso de sociedades por ações, registro na Comissão de Valores Mobiliários - CVM, acompanhado de documentos que comprovem a eleição de seus administradores;</w:t>
      </w:r>
    </w:p>
    <w:p>
      <w:pPr>
        <w:pStyle w:val="3"/>
        <w:numPr>
          <w:ilvl w:val="2"/>
          <w:numId w:val="8"/>
        </w:numPr>
        <w:tabs>
          <w:tab w:val="left" w:pos="1134"/>
        </w:tabs>
        <w:spacing w:before="0" w:beforeAutospacing="0" w:after="0" w:afterAutospacing="0"/>
        <w:jc w:val="both"/>
        <w:textAlignment w:val="baseline"/>
        <w:rPr>
          <w:color w:val="000000"/>
        </w:rPr>
      </w:pPr>
      <w:r>
        <w:rPr>
          <w:color w:val="000000"/>
        </w:rPr>
        <w:t>No caso de ser o participante sucursal, filial ou agência, inscrição no Registro Público de Empresas Mercantis onde opera, com averbação no Registro onde tem sede a matriz;</w:t>
      </w:r>
    </w:p>
    <w:p>
      <w:pPr>
        <w:pStyle w:val="3"/>
        <w:numPr>
          <w:ilvl w:val="2"/>
          <w:numId w:val="8"/>
        </w:numPr>
        <w:tabs>
          <w:tab w:val="left" w:pos="1134"/>
        </w:tabs>
        <w:spacing w:before="0" w:beforeAutospacing="0" w:after="0" w:afterAutospacing="0"/>
        <w:jc w:val="both"/>
        <w:textAlignment w:val="baseline"/>
        <w:rPr>
          <w:color w:val="000000"/>
        </w:rPr>
      </w:pPr>
      <w:r>
        <w:rPr>
          <w:color w:val="000000"/>
        </w:rPr>
        <w:t>No caso de sociedade simples, inscrição do ato constitutivo no Registro Civil das Pessoas Jurídicas do local de sua sede, acompanhada de prova da indicação dos seus administradores;</w:t>
      </w:r>
    </w:p>
    <w:p>
      <w:pPr>
        <w:pStyle w:val="3"/>
        <w:numPr>
          <w:ilvl w:val="2"/>
          <w:numId w:val="8"/>
        </w:numPr>
        <w:tabs>
          <w:tab w:val="left" w:pos="1134"/>
        </w:tabs>
        <w:spacing w:before="0" w:beforeAutospacing="0" w:after="120" w:afterAutospacing="0"/>
        <w:jc w:val="both"/>
        <w:textAlignment w:val="baseline"/>
        <w:rPr>
          <w:color w:val="000000"/>
        </w:rPr>
      </w:pPr>
      <w:r>
        <w:rPr>
          <w:color w:val="000000"/>
        </w:rPr>
        <w:t>No caso de sociedade empresária estrangeira em funcionamento no País, decreto de autorização.</w:t>
      </w:r>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Os documentos acima deverão estar acompanhados de todas as alterações ou da</w:t>
      </w:r>
      <w:r>
        <w:rPr>
          <w:color w:val="000000"/>
        </w:rPr>
        <w:br w:type="textWrapping"/>
      </w:r>
      <w:r>
        <w:rPr>
          <w:color w:val="000000"/>
        </w:rPr>
        <w:t>consolidação respectiva.</w:t>
      </w:r>
    </w:p>
    <w:p>
      <w:pPr>
        <w:pStyle w:val="2"/>
        <w:spacing w:before="360" w:after="0"/>
        <w:rPr>
          <w:rStyle w:val="45"/>
          <w:b w:val="0"/>
          <w:bCs w:val="0"/>
        </w:rPr>
      </w:pPr>
      <w:bookmarkStart w:id="31" w:name="_Toc149517450"/>
      <w:r>
        <w:rPr>
          <w:rStyle w:val="45"/>
        </w:rPr>
        <w:t>QUALIFICAÇÃO TÉCNICO-PROFISSIONAL E TÉCNICO-OPERACIONAL</w:t>
      </w:r>
      <w:bookmarkEnd w:id="31"/>
    </w:p>
    <w:p>
      <w:pPr>
        <w:pStyle w:val="3"/>
        <w:numPr>
          <w:ilvl w:val="1"/>
          <w:numId w:val="1"/>
        </w:numPr>
        <w:tabs>
          <w:tab w:val="left" w:pos="1134"/>
        </w:tabs>
        <w:spacing w:before="120" w:beforeAutospacing="0" w:after="120" w:afterAutospacing="0"/>
        <w:ind w:left="0" w:firstLine="567"/>
        <w:jc w:val="both"/>
        <w:textAlignment w:val="baseline"/>
        <w:rPr>
          <w:color w:val="000000"/>
        </w:rPr>
      </w:pPr>
      <w:r>
        <w:rPr>
          <w:color w:val="000000"/>
        </w:rPr>
        <w:t>A documentação relativa à qualificação técnica consistirá em apresentar as seguintes comprovações:</w:t>
      </w:r>
    </w:p>
    <w:p>
      <w:pPr>
        <w:pStyle w:val="171"/>
        <w:numPr>
          <w:ilvl w:val="0"/>
          <w:numId w:val="0"/>
        </w:numPr>
        <w:ind w:left="360" w:firstLine="0"/>
        <w:jc w:val="both"/>
      </w:pPr>
      <w:r>
        <w:rPr>
          <w:rFonts w:ascii="Times New Roman" w:hAnsi="Times New Roman" w:cs="Times New Roman"/>
          <w:b/>
          <w:bCs/>
          <w:sz w:val="24"/>
          <w:szCs w:val="24"/>
        </w:rPr>
        <w:t xml:space="preserve">a) </w:t>
      </w:r>
      <w:r>
        <w:rPr>
          <w:rFonts w:ascii="Times New Roman" w:hAnsi="Times New Roman" w:cs="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71"/>
        <w:numPr>
          <w:ilvl w:val="0"/>
          <w:numId w:val="0"/>
        </w:numPr>
        <w:ind w:left="360" w:firstLine="0"/>
        <w:jc w:val="both"/>
        <w:rPr>
          <w:rFonts w:ascii="Times New Roman" w:hAnsi="Times New Roman" w:eastAsia="Calibri" w:cs="Times New Roman"/>
          <w:b/>
          <w:bCs/>
          <w:color w:val="000000"/>
          <w:sz w:val="24"/>
          <w:szCs w:val="24"/>
        </w:rPr>
      </w:pPr>
    </w:p>
    <w:p>
      <w:pPr>
        <w:pStyle w:val="171"/>
        <w:widowControl/>
        <w:numPr>
          <w:ilvl w:val="0"/>
          <w:numId w:val="0"/>
        </w:numPr>
        <w:suppressAutoHyphens/>
        <w:bidi w:val="0"/>
        <w:spacing w:before="0" w:after="0" w:line="100" w:lineRule="atLeast"/>
        <w:ind w:left="1134" w:right="0" w:firstLine="0"/>
        <w:jc w:val="both"/>
        <w:rPr>
          <w:rFonts w:asciiTheme="minorHAnsi" w:hAnsiTheme="minorHAnsi" w:eastAsiaTheme="minorHAnsi" w:cstheme="minorBidi"/>
          <w:highlight w:val="none"/>
          <w:shd w:val="clear" w:fill="auto"/>
        </w:rPr>
      </w:pPr>
      <w:r>
        <w:rPr>
          <w:rFonts w:ascii="Times New Roman" w:hAnsi="Times New Roman" w:cs="Times New Roman" w:eastAsiaTheme="minorHAnsi"/>
          <w:b/>
          <w:bCs/>
          <w:color w:val="000000"/>
          <w:sz w:val="24"/>
          <w:szCs w:val="24"/>
          <w:shd w:val="clear" w:fill="auto"/>
        </w:rPr>
        <w:t xml:space="preserve">a.1) </w:t>
      </w:r>
      <w:r>
        <w:rPr>
          <w:rFonts w:ascii="Times New Roman" w:hAnsi="Times New Roman" w:cs="Times New Roman" w:eastAsiaTheme="minorHAnsi"/>
          <w:color w:val="000000"/>
          <w:sz w:val="24"/>
          <w:szCs w:val="24"/>
          <w:shd w:val="clear" w:fill="auto"/>
        </w:rPr>
        <w:t>A Câmara de Primavera do Leste para comprovar a veracidade dos atestados, poderá requisitar cópias dos respectivos contratos e aditivos e/ou outros documentos comprobatórios do conteúdo declarado.</w:t>
      </w:r>
    </w:p>
    <w:p>
      <w:pPr>
        <w:pStyle w:val="171"/>
        <w:numPr>
          <w:ilvl w:val="0"/>
          <w:numId w:val="0"/>
        </w:numPr>
        <w:ind w:left="360" w:firstLine="0"/>
        <w:jc w:val="both"/>
        <w:rPr>
          <w:rFonts w:asciiTheme="minorHAnsi" w:hAnsiTheme="minorHAnsi" w:eastAsiaTheme="minorHAnsi" w:cstheme="minorBidi"/>
          <w:highlight w:val="none"/>
          <w:shd w:val="clear" w:fill="auto"/>
        </w:rPr>
      </w:pPr>
      <w:r>
        <w:rPr>
          <w:rFonts w:ascii="Times New Roman" w:hAnsi="Times New Roman" w:cs="Times New Roman" w:eastAsiaTheme="minorHAnsi"/>
          <w:color w:val="000000"/>
          <w:sz w:val="24"/>
          <w:szCs w:val="24"/>
          <w:shd w:val="clear" w:fill="auto"/>
        </w:rPr>
        <w:t xml:space="preserve"> </w:t>
      </w:r>
    </w:p>
    <w:p>
      <w:pPr>
        <w:pStyle w:val="171"/>
        <w:numPr>
          <w:ilvl w:val="0"/>
          <w:numId w:val="0"/>
        </w:numPr>
        <w:ind w:left="360" w:firstLine="0"/>
        <w:jc w:val="both"/>
        <w:rPr>
          <w:rFonts w:asciiTheme="minorHAnsi" w:hAnsiTheme="minorHAnsi" w:eastAsiaTheme="minorHAnsi" w:cstheme="minorBidi"/>
          <w:highlight w:val="none"/>
          <w:shd w:val="clear" w:fill="auto"/>
        </w:rPr>
      </w:pPr>
      <w:r>
        <w:rPr>
          <w:rFonts w:ascii="Times New Roman" w:hAnsi="Times New Roman" w:cs="Times New Roman" w:eastAsiaTheme="minorHAnsi"/>
          <w:b/>
          <w:bCs/>
          <w:color w:val="000000"/>
          <w:sz w:val="24"/>
          <w:szCs w:val="24"/>
          <w:shd w:val="clear" w:fill="auto"/>
        </w:rPr>
        <w:t>b)</w:t>
      </w:r>
      <w:r>
        <w:rPr>
          <w:rFonts w:ascii="Times New Roman" w:hAnsi="Times New Roman" w:cs="Times New Roman" w:eastAsiaTheme="minorHAnsi"/>
          <w:color w:val="000000"/>
          <w:sz w:val="24"/>
          <w:szCs w:val="24"/>
          <w:shd w:val="clear" w:fill="auto"/>
        </w:rPr>
        <w:t xml:space="preserve"> </w:t>
      </w:r>
      <w:r>
        <w:rPr>
          <w:rFonts w:ascii="Times New Roman" w:hAnsi="Times New Roman" w:cs="Times New Roman"/>
          <w:color w:val="000000"/>
          <w:sz w:val="24"/>
          <w:szCs w:val="24"/>
          <w:shd w:val="clear" w:fill="auto"/>
          <w:lang w:val="pt-BR"/>
        </w:rPr>
        <w:t>D</w:t>
      </w:r>
      <w:r>
        <w:rPr>
          <w:rFonts w:ascii="Times New Roman" w:hAnsi="Times New Roman" w:cs="Times New Roman" w:eastAsiaTheme="minorHAnsi"/>
          <w:color w:val="000000"/>
          <w:sz w:val="24"/>
          <w:szCs w:val="24"/>
          <w:shd w:val="clear" w:fill="auto"/>
        </w:rPr>
        <w:t>emais itens relativ</w:t>
      </w:r>
      <w:r>
        <w:rPr>
          <w:rFonts w:ascii="Times New Roman" w:hAnsi="Times New Roman" w:cs="Times New Roman"/>
          <w:color w:val="000000"/>
          <w:sz w:val="24"/>
          <w:szCs w:val="24"/>
          <w:shd w:val="clear" w:fill="auto"/>
          <w:lang w:val="pt-BR"/>
        </w:rPr>
        <w:t>os</w:t>
      </w:r>
      <w:r>
        <w:rPr>
          <w:rFonts w:ascii="Times New Roman" w:hAnsi="Times New Roman" w:cs="Times New Roman" w:eastAsiaTheme="minorHAnsi"/>
          <w:color w:val="000000"/>
          <w:sz w:val="24"/>
          <w:szCs w:val="24"/>
          <w:shd w:val="clear" w:fill="auto"/>
        </w:rPr>
        <w:t xml:space="preserve"> à qualificação técnica</w:t>
      </w:r>
      <w:r>
        <w:rPr>
          <w:rFonts w:ascii="Times New Roman" w:hAnsi="Times New Roman" w:cs="Times New Roman"/>
          <w:color w:val="000000"/>
          <w:sz w:val="24"/>
          <w:szCs w:val="24"/>
          <w:shd w:val="clear" w:fill="auto"/>
          <w:lang w:val="pt-BR"/>
        </w:rPr>
        <w:t xml:space="preserve"> </w:t>
      </w:r>
      <w:r>
        <w:rPr>
          <w:rFonts w:ascii="Times New Roman" w:hAnsi="Times New Roman" w:cs="Times New Roman" w:eastAsiaTheme="minorHAnsi"/>
          <w:color w:val="000000"/>
          <w:sz w:val="24"/>
          <w:szCs w:val="24"/>
          <w:shd w:val="clear" w:fill="auto"/>
        </w:rPr>
        <w:t xml:space="preserve">solicitados no Anexo I  - Termo de Referência. </w:t>
      </w:r>
    </w:p>
    <w:p>
      <w:pPr>
        <w:pStyle w:val="2"/>
        <w:spacing w:before="360" w:after="0"/>
        <w:rPr>
          <w:rStyle w:val="45"/>
          <w:b w:val="0"/>
          <w:bCs w:val="0"/>
        </w:rPr>
      </w:pPr>
      <w:bookmarkStart w:id="32" w:name="_Toc149517451"/>
      <w:r>
        <w:rPr>
          <w:rStyle w:val="45"/>
        </w:rPr>
        <w:t>REGULARIDADE FISCAL, SOCIAL E TRABALHISTA</w:t>
      </w:r>
      <w:bookmarkEnd w:id="32"/>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As habilitações fiscal, social e trabalhista serão aferidas mediante a verificação dos seguintes requisitos:</w:t>
      </w:r>
    </w:p>
    <w:p>
      <w:pPr>
        <w:pStyle w:val="3"/>
        <w:numPr>
          <w:ilvl w:val="2"/>
          <w:numId w:val="1"/>
        </w:numPr>
        <w:tabs>
          <w:tab w:val="left" w:pos="1134"/>
        </w:tabs>
        <w:spacing w:before="0" w:beforeAutospacing="0" w:after="0" w:afterAutospacing="0"/>
        <w:jc w:val="both"/>
        <w:textAlignment w:val="baseline"/>
        <w:rPr>
          <w:color w:val="000000"/>
        </w:rPr>
      </w:pPr>
      <w:r>
        <w:rPr>
          <w:color w:val="000000"/>
        </w:rPr>
        <w:t>a inscrição no Cadastro Nacional da Pessoa Jurídica (CNPJ);</w:t>
      </w:r>
    </w:p>
    <w:p>
      <w:pPr>
        <w:pStyle w:val="3"/>
        <w:numPr>
          <w:ilvl w:val="2"/>
          <w:numId w:val="1"/>
        </w:numPr>
        <w:tabs>
          <w:tab w:val="left" w:pos="1134"/>
        </w:tabs>
        <w:spacing w:before="0" w:beforeAutospacing="0" w:after="0" w:afterAutospacing="0"/>
        <w:jc w:val="both"/>
        <w:textAlignment w:val="baseline"/>
        <w:rPr>
          <w:color w:val="000000"/>
        </w:rPr>
      </w:pPr>
      <w:r>
        <w:rPr>
          <w:color w:val="000000"/>
        </w:rPr>
        <w:t>a inscrição no cadastro de contribuintes estadual, relativo ao domicílio ou sede do licitante, pertinente ao seu ramo de atividade e compatível com o objeto contratual;</w:t>
      </w:r>
    </w:p>
    <w:p>
      <w:pPr>
        <w:pStyle w:val="3"/>
        <w:numPr>
          <w:ilvl w:val="2"/>
          <w:numId w:val="1"/>
        </w:numPr>
        <w:tabs>
          <w:tab w:val="left" w:pos="1134"/>
        </w:tabs>
        <w:spacing w:before="0" w:beforeAutospacing="0" w:after="0" w:afterAutospacing="0"/>
        <w:jc w:val="both"/>
        <w:textAlignment w:val="baseline"/>
        <w:rPr>
          <w:color w:val="000000"/>
        </w:rPr>
      </w:pPr>
      <w:r>
        <w:rPr>
          <w:color w:val="000000"/>
        </w:rPr>
        <w:t>a regularidade perante a Fazenda federal, estadual e municipal do domicílio ou sede do licitante, ou outra equivalente, na forma da lei;</w:t>
      </w:r>
    </w:p>
    <w:p>
      <w:pPr>
        <w:pStyle w:val="3"/>
        <w:numPr>
          <w:ilvl w:val="2"/>
          <w:numId w:val="1"/>
        </w:numPr>
        <w:tabs>
          <w:tab w:val="left" w:pos="1134"/>
        </w:tabs>
        <w:spacing w:before="0" w:beforeAutospacing="0" w:after="0" w:afterAutospacing="0"/>
        <w:jc w:val="both"/>
        <w:textAlignment w:val="baseline"/>
        <w:rPr>
          <w:color w:val="000000"/>
        </w:rPr>
      </w:pPr>
      <w:r>
        <w:rPr>
          <w:color w:val="000000"/>
        </w:rPr>
        <w:t>a regularidade relativa à Seguridade Social e ao FGTS, que demonstre cumprimento dos encargos sociais instituídos por lei;</w:t>
      </w:r>
    </w:p>
    <w:p>
      <w:pPr>
        <w:pStyle w:val="3"/>
        <w:numPr>
          <w:ilvl w:val="2"/>
          <w:numId w:val="1"/>
        </w:numPr>
        <w:tabs>
          <w:tab w:val="left" w:pos="1134"/>
        </w:tabs>
        <w:spacing w:before="0" w:beforeAutospacing="0" w:after="0" w:afterAutospacing="0"/>
        <w:jc w:val="both"/>
        <w:textAlignment w:val="baseline"/>
        <w:rPr>
          <w:color w:val="000000"/>
        </w:rPr>
      </w:pPr>
      <w:r>
        <w:rPr>
          <w:color w:val="000000"/>
        </w:rPr>
        <w:t>a regularidade perante a Justiça do Trabalho;</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o cumprimento do disposto no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7º, inc. XXXIII, da Constituição Federal de 1988</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Serão aceitas certidões negativas e certidões positivas com efeito de negativas.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rPr>
          <w:rStyle w:val="45"/>
          <w:b w:val="0"/>
          <w:bCs w:val="0"/>
        </w:rPr>
      </w:pPr>
      <w:bookmarkStart w:id="33" w:name="_Toc149517452"/>
      <w:r>
        <w:rPr>
          <w:rStyle w:val="45"/>
        </w:rPr>
        <w:t>HABILITAÇÃO ECONÔMICO-FINANCEIRA</w:t>
      </w:r>
      <w:bookmarkEnd w:id="33"/>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Em atenção à parte final do </w:t>
      </w:r>
      <w:r>
        <w:fldChar w:fldCharType="begin"/>
      </w:r>
      <w:r>
        <w:rPr>
          <w:rStyle w:val="54"/>
        </w:rPr>
        <w:instrText xml:space="preserve"> HYPERLINK "http://www.planalto.gov.br/ccivil_03/constituicao/constituicao.htm" \l "art37"</w:instrText>
      </w:r>
      <w:r>
        <w:rPr>
          <w:rStyle w:val="54"/>
        </w:rPr>
        <w:fldChar w:fldCharType="separate"/>
      </w:r>
      <w:r>
        <w:rPr>
          <w:rStyle w:val="54"/>
        </w:rPr>
        <w:t>art. 37, XXI, da Constituição Federal de 1988</w:t>
      </w:r>
      <w:r>
        <w:rPr>
          <w:rStyle w:val="54"/>
        </w:rPr>
        <w:fldChar w:fldCharType="end"/>
      </w:r>
      <w:r>
        <w:rPr>
          <w:color w:val="000000"/>
        </w:rPr>
        <w:t xml:space="preserve">, não haverá exigência de qualificação econômico-financeira, previstas no </w:t>
      </w:r>
      <w:r>
        <w:fldChar w:fldCharType="begin"/>
      </w:r>
      <w:r>
        <w:rPr>
          <w:rStyle w:val="54"/>
        </w:rPr>
        <w:instrText xml:space="preserve"> HYPERLINK "https://www.planalto.gov.br/ccivil_03/_ato2019-2022/2021/lei/l14133.htm" \l "art69"</w:instrText>
      </w:r>
      <w:r>
        <w:rPr>
          <w:rStyle w:val="54"/>
        </w:rPr>
        <w:fldChar w:fldCharType="separate"/>
      </w:r>
      <w:r>
        <w:rPr>
          <w:rStyle w:val="54"/>
        </w:rPr>
        <w:t>art. 69 da Lei Federal nº 14.133, de 2021</w:t>
      </w:r>
      <w:r>
        <w:rPr>
          <w:rStyle w:val="54"/>
        </w:rPr>
        <w:fldChar w:fldCharType="end"/>
      </w:r>
      <w:r>
        <w:rPr>
          <w:color w:val="000000"/>
        </w:rPr>
        <w:t>.</w:t>
      </w:r>
    </w:p>
    <w:p>
      <w:pPr>
        <w:pStyle w:val="2"/>
        <w:spacing w:before="360" w:after="0"/>
        <w:rPr>
          <w:rStyle w:val="45"/>
          <w:b w:val="0"/>
          <w:bCs w:val="0"/>
        </w:rPr>
      </w:pPr>
      <w:bookmarkStart w:id="34" w:name="_Toc149517453"/>
      <w:r>
        <w:rPr>
          <w:rStyle w:val="45"/>
        </w:rPr>
        <w:t>OUTROS DOCUMENTOS</w:t>
      </w:r>
      <w:bookmarkEnd w:id="34"/>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Sob pena de inabilitação, o licitante deverá apresentar declarações, conforme modelo constante no </w:t>
      </w:r>
      <w:r>
        <w:fldChar w:fldCharType="begin"/>
      </w:r>
      <w:r>
        <w:instrText xml:space="preserve"> HYPERLINK \l "_ANEXO_III_-" \h </w:instrText>
      </w:r>
      <w:r>
        <w:fldChar w:fldCharType="separate"/>
      </w:r>
      <w:r>
        <w:rPr>
          <w:rStyle w:val="54"/>
        </w:rPr>
        <w:t>Anexo III - Modelo de Declarações</w:t>
      </w:r>
      <w:r>
        <w:rPr>
          <w:rStyle w:val="54"/>
        </w:rPr>
        <w:fldChar w:fldCharType="end"/>
      </w:r>
      <w:r>
        <w:rPr>
          <w:color w:val="000000"/>
        </w:rPr>
        <w:t>, de que:</w:t>
      </w:r>
    </w:p>
    <w:p>
      <w:pPr>
        <w:pStyle w:val="3"/>
        <w:numPr>
          <w:ilvl w:val="2"/>
          <w:numId w:val="1"/>
        </w:numPr>
        <w:tabs>
          <w:tab w:val="left" w:pos="1134"/>
        </w:tabs>
        <w:spacing w:before="0" w:beforeAutospacing="0" w:after="0" w:afterAutospacing="0"/>
        <w:jc w:val="both"/>
        <w:textAlignment w:val="baseline"/>
        <w:rPr>
          <w:color w:val="000000"/>
        </w:rPr>
      </w:pPr>
      <w:r>
        <w:rPr>
          <w:color w:val="000000"/>
        </w:rPr>
        <w:t>está ciente e concorda com as condições contidas no Edital e seus anexos, bem como de que cumpre plenamente os requisitos de habilitação definidos no Edital;</w:t>
      </w:r>
    </w:p>
    <w:p>
      <w:pPr>
        <w:pStyle w:val="3"/>
        <w:numPr>
          <w:ilvl w:val="2"/>
          <w:numId w:val="1"/>
        </w:numPr>
        <w:tabs>
          <w:tab w:val="left" w:pos="1134"/>
        </w:tabs>
        <w:spacing w:before="0" w:after="0"/>
        <w:jc w:val="both"/>
        <w:textAlignment w:val="baseline"/>
        <w:rPr>
          <w:color w:val="000000"/>
        </w:rPr>
      </w:pPr>
      <w:r>
        <w:rPr>
          <w:color w:val="000000"/>
        </w:rPr>
        <w:t>inexistem fatos impeditivos para sua habilitação no certame, ciente da obrigatoriedade de declarar ocorrências posteriores;</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 XXXIII, da Constituição Federal de 1988</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color w:val="000000"/>
        </w:rPr>
      </w:pPr>
      <w:r>
        <w:t xml:space="preserve">não possui empregados executando trabalho degradante ou forçado, observando o disposto nos </w:t>
      </w:r>
      <w:r>
        <w:fldChar w:fldCharType="begin"/>
      </w:r>
      <w:r>
        <w:rPr>
          <w:rStyle w:val="54"/>
        </w:rPr>
        <w:instrText xml:space="preserve"> HYPERLINK "https://www.planalto.gov.br/ccivil_03/constituicao/constituicao.htm" \l "art5"</w:instrText>
      </w:r>
      <w:r>
        <w:rPr>
          <w:rStyle w:val="54"/>
        </w:rPr>
        <w:fldChar w:fldCharType="separate"/>
      </w:r>
      <w:r>
        <w:rPr>
          <w:rStyle w:val="54"/>
        </w:rPr>
        <w:t>incisos III e IV do art. 1º e no inciso III do art. 5º da Constituição Federal de 1988</w:t>
      </w:r>
      <w:r>
        <w:rPr>
          <w:rStyle w:val="54"/>
        </w:rPr>
        <w:fldChar w:fldCharType="end"/>
      </w:r>
      <w:r>
        <w:t>;</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não mantém vínculo de natureza técnica, comercial, econômica, financeira, trabalhista ou civil com dirigente da </w:t>
      </w:r>
      <w:bookmarkStart w:id="35" w:name="_Hlk149515729"/>
      <w:r>
        <w:rPr>
          <w:color w:val="000000"/>
        </w:rPr>
        <w:t>Câmara Municipal de Primavera do Leste - MT</w:t>
      </w:r>
      <w:bookmarkEnd w:id="35"/>
      <w:r>
        <w:t xml:space="preserve"> </w:t>
      </w:r>
      <w:r>
        <w:rPr>
          <w:color w:val="000000"/>
        </w:rPr>
        <w:t>ou que deles seja cônjuge, companheiro ou parente em linha reta, colateral ou por afinidade, até o terceiro grau (</w:t>
      </w:r>
      <w:r>
        <w:fldChar w:fldCharType="begin"/>
      </w:r>
      <w:r>
        <w:rPr>
          <w:rStyle w:val="54"/>
        </w:rPr>
        <w:instrText xml:space="preserve"> HYPERLINK "https://www.planalto.gov.br/ccivil_03/_ato2019-2022/2021/lei/l14133.htm" \l "art14"</w:instrText>
      </w:r>
      <w:r>
        <w:rPr>
          <w:rStyle w:val="54"/>
        </w:rPr>
        <w:fldChar w:fldCharType="separate"/>
      </w:r>
      <w:r>
        <w:rPr>
          <w:rStyle w:val="54"/>
        </w:rPr>
        <w:t>art. 14, IV, da Lei Federal nº 14.133, de 2021</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4"/>
        </w:rPr>
        <w:instrText xml:space="preserve"> HYPERLINK "https://www.planalto.gov.br/ccivil_03/leis/l8213cons.htm" \l "art93"</w:instrText>
      </w:r>
      <w:r>
        <w:rPr>
          <w:rStyle w:val="54"/>
        </w:rPr>
        <w:fldChar w:fldCharType="separate"/>
      </w:r>
      <w:r>
        <w:rPr>
          <w:rStyle w:val="54"/>
        </w:rPr>
        <w:t>art. 93 da Lei Federal nº 8.213, de 1991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"art63"</w:instrText>
      </w:r>
      <w:r>
        <w:rPr>
          <w:rStyle w:val="54"/>
        </w:rPr>
        <w:fldChar w:fldCharType="separate"/>
      </w:r>
      <w:r>
        <w:rPr>
          <w:rStyle w:val="54"/>
        </w:rPr>
        <w:t>art. 63, IV,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bookmarkStart w:id="36" w:name="_Ref117000019"/>
      <w:r>
        <w:t xml:space="preserve">O </w:t>
      </w:r>
      <w:r>
        <w:rPr>
          <w:color w:val="000000"/>
        </w:rPr>
        <w:t>fornecedor</w:t>
      </w:r>
      <w:r>
        <w:t xml:space="preserve"> enquadrado como microempresa ou empresa de pequeno porte deverá declarar, ainda, em campo próprio do sistema eletrônico, que cumpre os requisitos estabelecidos no </w:t>
      </w:r>
      <w:r>
        <w:fldChar w:fldCharType="begin"/>
      </w:r>
      <w:r>
        <w:rPr>
          <w:rStyle w:val="54"/>
        </w:rPr>
        <w:instrText xml:space="preserve"> HYPERLINK "https://www.planalto.gov.br/ccivil_03/leis/lcp/lcp123.htm" \l "art3"</w:instrText>
      </w:r>
      <w:r>
        <w:rPr>
          <w:rStyle w:val="54"/>
        </w:rPr>
        <w:fldChar w:fldCharType="separate"/>
      </w:r>
      <w:r>
        <w:rPr>
          <w:rStyle w:val="54"/>
        </w:rPr>
        <w:t>artigo 3° da Lei Complementar Federal nº 123, de 2006</w:t>
      </w:r>
      <w:r>
        <w:rPr>
          <w:rStyle w:val="54"/>
        </w:rPr>
        <w:fldChar w:fldCharType="end"/>
      </w:r>
      <w:r>
        <w:t xml:space="preserve">, estando apto a usufruir do tratamento favorecido estabelecido em seus </w:t>
      </w:r>
      <w:r>
        <w:fldChar w:fldCharType="begin"/>
      </w:r>
      <w:r>
        <w:rPr>
          <w:rStyle w:val="54"/>
        </w:rPr>
        <w:instrText xml:space="preserve"> HYPERLINK "https://www.planalto.gov.br/ccivil_03/leis/lcp/lcp123.htm" \l "art42"</w:instrText>
      </w:r>
      <w:r>
        <w:rPr>
          <w:rStyle w:val="54"/>
        </w:rPr>
        <w:fldChar w:fldCharType="separate"/>
      </w:r>
      <w:bookmarkEnd w:id="36"/>
      <w:r>
        <w:rPr>
          <w:rStyle w:val="54"/>
        </w:rPr>
        <w:t>arts. 42 a 49</w:t>
      </w:r>
      <w:r>
        <w:rPr>
          <w:rStyle w:val="54"/>
        </w:rPr>
        <w:fldChar w:fldCharType="end"/>
      </w:r>
      <w:r>
        <w:t xml:space="preserve">, observado o disposto nos </w:t>
      </w:r>
      <w:r>
        <w:fldChar w:fldCharType="begin"/>
      </w:r>
      <w:r>
        <w:rPr>
          <w:rStyle w:val="54"/>
        </w:rPr>
        <w:instrText xml:space="preserve"> HYPERLINK "http://www.planalto.gov.br/ccivil_03/_ato2019-2022/2021/lei/L14133.htm" \l "art4§1"</w:instrText>
      </w:r>
      <w:r>
        <w:rPr>
          <w:rStyle w:val="54"/>
        </w:rPr>
        <w:fldChar w:fldCharType="separate"/>
      </w:r>
      <w:r>
        <w:rPr>
          <w:rStyle w:val="54"/>
        </w:rPr>
        <w:t>§§ 1º ao 3º do art. 4º, da Lei Federal nº 14.133, de 2021.</w:t>
      </w:r>
      <w:r>
        <w:rPr>
          <w:rStyle w:val="54"/>
        </w:rPr>
        <w:fldChar w:fldCharType="end"/>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IV, da Lei Federal nº 14.133, de 2021</w:t>
      </w:r>
      <w:r>
        <w:rPr>
          <w:rStyle w:val="54"/>
        </w:rPr>
        <w:fldChar w:fldCharType="end"/>
      </w:r>
      <w:r>
        <w:rPr>
          <w:color w:val="000000"/>
        </w:rPr>
        <w:t>.</w:t>
      </w:r>
    </w:p>
    <w:p>
      <w:pPr>
        <w:pStyle w:val="2"/>
        <w:spacing w:before="360" w:after="0"/>
        <w:rPr>
          <w:rStyle w:val="45"/>
          <w:b w:val="0"/>
          <w:bCs w:val="0"/>
        </w:rPr>
      </w:pPr>
      <w:bookmarkStart w:id="37" w:name="_Toc149517454"/>
      <w:r>
        <w:rPr>
          <w:rStyle w:val="45"/>
        </w:rPr>
        <w:t>ENCAMINHAMENTO DA PROPOSTA VENCEDORA</w:t>
      </w:r>
      <w:bookmarkEnd w:id="37"/>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A proposta final do licitante habilitado e declarado vencedor deverá ser encaminhada no prazo de 2 (duas) horas, a contar da solicitação do(a) </w:t>
      </w:r>
      <w:r>
        <w:t>Pregoeiro</w:t>
      </w:r>
      <w:r>
        <w:rPr>
          <w:color w:val="000000"/>
        </w:rPr>
        <w:t xml:space="preserve"> no sistema eletrônico e deverá:</w:t>
      </w:r>
    </w:p>
    <w:p>
      <w:pPr>
        <w:pStyle w:val="3"/>
        <w:numPr>
          <w:ilvl w:val="2"/>
          <w:numId w:val="1"/>
        </w:numPr>
        <w:tabs>
          <w:tab w:val="left" w:pos="1134"/>
        </w:tabs>
        <w:spacing w:before="0" w:beforeAutospacing="0" w:after="0" w:afterAutospacing="0"/>
        <w:jc w:val="both"/>
        <w:textAlignment w:val="baseline"/>
        <w:rPr>
          <w:color w:val="000000"/>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3"/>
        <w:numPr>
          <w:ilvl w:val="2"/>
          <w:numId w:val="1"/>
        </w:numPr>
        <w:tabs>
          <w:tab w:val="left" w:pos="1134"/>
        </w:tabs>
        <w:spacing w:before="0" w:beforeAutospacing="0" w:after="0" w:afterAutospacing="0"/>
        <w:jc w:val="both"/>
        <w:textAlignment w:val="baseline"/>
        <w:rPr>
          <w:color w:val="000000"/>
        </w:rPr>
      </w:pPr>
      <w:r>
        <w:rPr>
          <w:color w:val="000000"/>
        </w:rPr>
        <w:t>conter a indicação do banco, número da conta e agência do licitante vencedor, para fins de pagamento;</w:t>
      </w:r>
    </w:p>
    <w:p>
      <w:pPr>
        <w:pStyle w:val="3"/>
        <w:numPr>
          <w:ilvl w:val="2"/>
          <w:numId w:val="1"/>
        </w:numPr>
        <w:tabs>
          <w:tab w:val="left" w:pos="1134"/>
        </w:tabs>
        <w:spacing w:before="0" w:beforeAutospacing="0" w:after="0" w:afterAutospacing="0"/>
        <w:jc w:val="both"/>
        <w:textAlignment w:val="baseline"/>
        <w:rPr>
          <w:color w:val="000000"/>
        </w:rPr>
      </w:pPr>
      <w:r>
        <w:rPr>
          <w:color w:val="000000"/>
        </w:rPr>
        <w:t>conter os dados pessoais do responsável pela assinatura da contratação, devendo ser enviado cópia dos documentos pessoais e documento que comprove a representatividade.</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proposta final deverá ser documentada nos autos e será levada em consideração no decorrer da execução do contrato e aplicação de eventual sanção administrativa à futura contratada, se for o caso.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Todas as especificações do objeto contidas na proposta, tais como marca, modelo, tipo, fabricante e procedência, vinculam a futura contratada.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Os preços deverão ser expressos em moeda corrente nacional, o valor unitário em algarismos e o valor global em algarismos (</w:t>
      </w:r>
      <w:r>
        <w:fldChar w:fldCharType="begin"/>
      </w:r>
      <w:r>
        <w:rPr>
          <w:rStyle w:val="54"/>
        </w:rPr>
        <w:instrText xml:space="preserve"> HYPERLINK "https://www.planalto.gov.br/ccivil_03/_ato2019-2022/2021/lei/l14133.htm" \l "art12"</w:instrText>
      </w:r>
      <w:r>
        <w:rPr>
          <w:rStyle w:val="54"/>
        </w:rPr>
        <w:fldChar w:fldCharType="separate"/>
      </w:r>
      <w:r>
        <w:rPr>
          <w:rStyle w:val="54"/>
        </w:rPr>
        <w:t>art. 12, II,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2"/>
        <w:spacing w:before="360" w:after="0"/>
        <w:rPr>
          <w:rStyle w:val="45"/>
          <w:b w:val="0"/>
          <w:bCs w:val="0"/>
        </w:rPr>
      </w:pPr>
      <w:bookmarkStart w:id="38" w:name="_Toc149517455"/>
      <w:r>
        <w:rPr>
          <w:rStyle w:val="45"/>
        </w:rPr>
        <w:t>RECURSO(S) ADMINISTRATIVO(S)</w:t>
      </w:r>
      <w:bookmarkEnd w:id="38"/>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w:t>
      </w:r>
      <w:r>
        <w:t>Pregoeiro</w:t>
      </w:r>
      <w:r>
        <w:rPr>
          <w:color w:val="000000"/>
        </w:rPr>
        <w:t xml:space="preserve"> em face dos demais itens do objeto da licitação.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 RECURSO ADMINISTRATIVO poderá atacar qualquer ato decisório ou procedimento adotado pelo(a) </w:t>
      </w:r>
      <w:r>
        <w:t>Pregoeiro</w:t>
      </w:r>
      <w:r>
        <w:rPr>
          <w:color w:val="000000"/>
        </w:rPr>
        <w:t xml:space="preserve"> durante todo o certame licitatório, não sendo meio adequado para impugnar regras do Edital e seus Anexos.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Havendo registro de INTENÇÃO DE RECURSO, o(a) </w:t>
      </w:r>
      <w: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Será rejeitada a INTENÇÃO DE RECURSO de caráter protelatório que:</w:t>
      </w:r>
    </w:p>
    <w:p>
      <w:pPr>
        <w:pStyle w:val="3"/>
        <w:numPr>
          <w:ilvl w:val="2"/>
          <w:numId w:val="1"/>
        </w:numPr>
        <w:tabs>
          <w:tab w:val="left" w:pos="1134"/>
        </w:tabs>
        <w:spacing w:before="0" w:beforeAutospacing="0" w:after="0" w:afterAutospacing="0"/>
        <w:jc w:val="both"/>
        <w:textAlignment w:val="baseline"/>
        <w:rPr>
          <w:color w:val="000000"/>
        </w:rPr>
      </w:pPr>
      <w:r>
        <w:rPr>
          <w:color w:val="000000"/>
        </w:rPr>
        <w:t>seja registrada por quem não tenha legítimo interesse;</w:t>
      </w:r>
    </w:p>
    <w:p>
      <w:pPr>
        <w:pStyle w:val="3"/>
        <w:numPr>
          <w:ilvl w:val="2"/>
          <w:numId w:val="1"/>
        </w:numPr>
        <w:tabs>
          <w:tab w:val="left" w:pos="1134"/>
        </w:tabs>
        <w:spacing w:before="0" w:beforeAutospacing="0" w:after="0" w:afterAutospacing="0"/>
        <w:jc w:val="both"/>
        <w:textAlignment w:val="baseline"/>
        <w:rPr>
          <w:color w:val="000000"/>
        </w:rPr>
      </w:pPr>
      <w:r>
        <w:rPr>
          <w:color w:val="000000"/>
        </w:rPr>
        <w:t>seja intempestiva;</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não ataque ato decisório ou procedimental praticado pelo(a) </w:t>
      </w:r>
      <w:r>
        <w:t>Pregoeiro</w:t>
      </w:r>
      <w:r>
        <w:rPr>
          <w:color w:val="000000"/>
        </w:rPr>
        <w:t xml:space="preserve"> no certame; e/ou</w:t>
      </w:r>
    </w:p>
    <w:p>
      <w:pPr>
        <w:pStyle w:val="3"/>
        <w:numPr>
          <w:ilvl w:val="2"/>
          <w:numId w:val="1"/>
        </w:numPr>
        <w:tabs>
          <w:tab w:val="left" w:pos="1134"/>
        </w:tabs>
        <w:spacing w:before="0" w:beforeAutospacing="0" w:after="0" w:afterAutospacing="0"/>
        <w:jc w:val="both"/>
        <w:textAlignment w:val="baseline"/>
        <w:rPr>
          <w:color w:val="000000"/>
        </w:rPr>
      </w:pPr>
      <w:r>
        <w:rPr>
          <w:color w:val="000000"/>
        </w:rPr>
        <w:t>seja fundamentada em mera insatisfação do licitante, sem alegação de qualquer fato prejudicial ou desconforme com o presente Edital e/ou com a legislação vigente.</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Não é imprescindível haver total correspondência entre os fatos e fundamentos indicados na intenção de recurso e as razões escritas do respectivo recurso.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Os autos do procedimento permanecerão com vista franqueada aos interessados. Para tanto, as empresas interessadas deverão entrar em contato com o(a) </w:t>
      </w:r>
      <w:r>
        <w:t>Pregoeiro</w:t>
      </w:r>
      <w:r>
        <w:rPr>
          <w:color w:val="000000"/>
        </w:rPr>
        <w:t xml:space="preserve"> por intermédio do e-mail </w:t>
      </w:r>
      <w:r>
        <w:fldChar w:fldCharType="begin"/>
      </w:r>
      <w:r>
        <w:instrText xml:space="preserve"> HYPERLINK "mailto:licitacao@primaveradoleste.mt.leg.br" \h </w:instrText>
      </w:r>
      <w:r>
        <w:fldChar w:fldCharType="separate"/>
      </w:r>
      <w:r>
        <w:rPr>
          <w:rStyle w:val="54"/>
        </w:rPr>
        <w:t>licitacao@primaveradoleste.mt.leg.br</w:t>
      </w:r>
      <w:r>
        <w:rPr>
          <w:rStyle w:val="54"/>
        </w:rPr>
        <w:fldChar w:fldCharType="end"/>
      </w:r>
      <w:r>
        <w:rPr>
          <w:color w:val="000000"/>
        </w:rPr>
        <w:t xml:space="preserve"> ou, nos dias úteis e no horário de funcionamento da Câmara, pelo telefone: </w:t>
      </w:r>
      <w:r>
        <w:rPr>
          <w:color w:val="000000"/>
          <w:shd w:val="clear" w:fill="auto"/>
        </w:rPr>
        <w:t>3498-3590.</w:t>
      </w:r>
    </w:p>
    <w:p>
      <w:pPr>
        <w:pStyle w:val="3"/>
        <w:numPr>
          <w:ilvl w:val="1"/>
          <w:numId w:val="1"/>
        </w:numPr>
        <w:tabs>
          <w:tab w:val="left" w:pos="1134"/>
        </w:tabs>
        <w:spacing w:before="0" w:beforeAutospacing="0" w:after="0" w:afterAutospacing="0"/>
        <w:ind w:left="0" w:firstLine="567"/>
        <w:jc w:val="both"/>
        <w:textAlignment w:val="baseline"/>
      </w:pPr>
      <w:r>
        <w:t>A não apresentação das razões referente à intenção de recurso registrada no sistema, no prazo legal, importa preclusão do direito de recurso, possibilitando a adjudicação do objeto e homologação do certame. A critério do(a)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rStyle w:val="54"/>
        </w:rPr>
        <w:instrText xml:space="preserve"> HYPERLINK "https://www.planalto.gov.br/ccivil_03/constituicao/constituicao.htm" \l "art5"</w:instrText>
      </w:r>
      <w:r>
        <w:rPr>
          <w:rStyle w:val="54"/>
        </w:rPr>
        <w:fldChar w:fldCharType="separate"/>
      </w:r>
      <w:r>
        <w:rPr>
          <w:rStyle w:val="54"/>
        </w:rPr>
        <w:t>art. 5º, XXXIV, "a", Constituição Federal de 1988</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4"/>
        </w:rPr>
        <w:t>Súmula nº 473 do STF</w:t>
      </w:r>
      <w:r>
        <w:rPr>
          <w:rStyle w:val="54"/>
        </w:rPr>
        <w:fldChar w:fldCharType="end"/>
      </w:r>
      <w:r>
        <w:rPr>
          <w:color w:val="000000"/>
        </w:rPr>
        <w:t xml:space="preserve"> e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 3º,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t>Não cabe RECURSO ADESIVO por ocasião do exercício do direito de contrarrazoar.</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Os recursos serão apreciados em fase única, conforme disposto no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§2º,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Na análise e julgamento do recurso administrativo, poderá o(a) </w:t>
      </w:r>
      <w:r>
        <w:t>Pregoeiro</w:t>
      </w:r>
      <w:r>
        <w:rPr>
          <w:color w:val="000000"/>
        </w:rPr>
        <w:t xml:space="preserve"> baixar em diligência os autos para fins de pronunciamento da unidade técnica competente, bem como para Assessoria Jurídica e/ou Assessoria Contábil.</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Decorridos os prazos de apresentação de razões e contrarrazões, o(a) </w:t>
      </w:r>
      <w:r>
        <w:t>Pregoeiro</w:t>
      </w:r>
      <w:r>
        <w:rPr>
          <w:color w:val="000000"/>
        </w:rPr>
        <w:t xml:space="preserve"> deverá analisar fundamentadamente os fatos e fundamentos arguidos pelo(s) recorrente(s), podendo, em sede de JUÍZO DE RETRATAÇÃO:</w:t>
      </w:r>
    </w:p>
    <w:p>
      <w:pPr>
        <w:pStyle w:val="3"/>
        <w:numPr>
          <w:ilvl w:val="2"/>
          <w:numId w:val="1"/>
        </w:numPr>
        <w:tabs>
          <w:tab w:val="left" w:pos="1134"/>
        </w:tabs>
        <w:spacing w:before="0" w:beforeAutospacing="0" w:after="0" w:afterAutospacing="0"/>
        <w:jc w:val="both"/>
        <w:textAlignment w:val="baseline"/>
        <w:rPr>
          <w:color w:val="000000"/>
        </w:rPr>
      </w:pPr>
      <w:r>
        <w:rPr>
          <w:color w:val="000000"/>
        </w:rPr>
        <w:t>reconsiderar, total ou parcialmente, a decisão recorrida, reformando-a; ou</w:t>
      </w:r>
    </w:p>
    <w:p>
      <w:pPr>
        <w:pStyle w:val="3"/>
        <w:numPr>
          <w:ilvl w:val="2"/>
          <w:numId w:val="1"/>
        </w:numPr>
        <w:tabs>
          <w:tab w:val="left" w:pos="1134"/>
        </w:tabs>
        <w:spacing w:before="0" w:beforeAutospacing="0" w:after="0" w:afterAutospacing="0"/>
        <w:jc w:val="both"/>
        <w:textAlignment w:val="baseline"/>
        <w:rPr>
          <w:color w:val="000000"/>
        </w:rPr>
      </w:pPr>
      <w:r>
        <w:rPr>
          <w:color w:val="000000"/>
        </w:rPr>
        <w:t>manter inalterada a decisão recorrida.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Qualquer que seja a decisão do(a) </w:t>
      </w:r>
      <w:r>
        <w:t>Pregoeiro</w:t>
      </w:r>
      <w:r>
        <w:rPr>
          <w:color w:val="000000"/>
        </w:rPr>
        <w:t xml:space="preserve">, o processo será submetido, depois de devidamente instruído pelo(a) </w:t>
      </w:r>
      <w:r>
        <w:t>Pregoeiro</w:t>
      </w:r>
      <w:r>
        <w:rPr>
          <w:color w:val="000000"/>
        </w:rPr>
        <w:t>, à apreciação da Autoridade Superior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 2º, da Lei Federal nº 14.133, de 2021</w:t>
      </w:r>
      <w:r>
        <w:rPr>
          <w:rStyle w:val="54"/>
        </w:rPr>
        <w:fldChar w:fldCharType="end"/>
      </w:r>
      <w:r>
        <w:rPr>
          <w:color w:val="000000"/>
        </w:rPr>
        <w:t xml:space="preserve">), que poderá: </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decidir de pronto o mérito do recurso, segundo os documentos e informações contidas nos autos, como também os fundamentos da decisão do(a) </w:t>
      </w:r>
      <w:r>
        <w:t>Pregoeiro</w:t>
      </w:r>
      <w:r>
        <w:rPr>
          <w:color w:val="000000"/>
        </w:rPr>
        <w:t>; OU</w:t>
      </w:r>
    </w:p>
    <w:p>
      <w:pPr>
        <w:pStyle w:val="3"/>
        <w:numPr>
          <w:ilvl w:val="2"/>
          <w:numId w:val="1"/>
        </w:numPr>
        <w:tabs>
          <w:tab w:val="left" w:pos="1134"/>
        </w:tabs>
        <w:spacing w:before="0" w:beforeAutospacing="0" w:after="0" w:afterAutospacing="0"/>
        <w:jc w:val="both"/>
        <w:textAlignment w:val="baseline"/>
        <w:rPr>
          <w:color w:val="000000"/>
        </w:rPr>
      </w:pPr>
      <w:r>
        <w:rPr>
          <w:color w:val="000000"/>
        </w:rPr>
        <w:t>determinar prévia emissão de parecer da área técnica e/ou jurídico para subsidiar sua decisão.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 acolhimento do recurso importará na invalidação apenas dos atos que não possam ser aproveitados. (</w:t>
      </w:r>
      <w:r>
        <w:fldChar w:fldCharType="begin"/>
      </w:r>
      <w:r>
        <w:rPr>
          <w:rStyle w:val="54"/>
        </w:rPr>
        <w:instrText xml:space="preserve"> HYPERLINK "https://www.planalto.gov.br/ccivil_03/_ato2019-2022/2021/lei/l14133.htm" \l "art165"</w:instrText>
      </w:r>
      <w:r>
        <w:rPr>
          <w:rStyle w:val="54"/>
        </w:rPr>
        <w:fldChar w:fldCharType="separate"/>
      </w:r>
      <w:r>
        <w:rPr>
          <w:rStyle w:val="54"/>
        </w:rPr>
        <w:t>art. 165, §3º,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da Lei Federal nº 14.133, de 2021</w:t>
      </w:r>
      <w:r>
        <w:rPr>
          <w:rStyle w:val="54"/>
        </w:rPr>
        <w:fldChar w:fldCharType="end"/>
      </w:r>
      <w:r>
        <w:rPr>
          <w:color w:val="000000"/>
        </w:rPr>
        <w:t>.</w:t>
      </w:r>
    </w:p>
    <w:p>
      <w:pPr>
        <w:pStyle w:val="2"/>
        <w:spacing w:before="360" w:after="0"/>
        <w:rPr>
          <w:rStyle w:val="45"/>
          <w:b w:val="0"/>
          <w:bCs w:val="0"/>
        </w:rPr>
      </w:pPr>
      <w:bookmarkStart w:id="39" w:name="_Toc149517456"/>
      <w:r>
        <w:rPr>
          <w:rStyle w:val="45"/>
        </w:rPr>
        <w:t>REABERTURA DA SESSÃO PÚBLICA</w:t>
      </w:r>
      <w:bookmarkEnd w:id="39"/>
    </w:p>
    <w:p>
      <w:pPr>
        <w:pStyle w:val="3"/>
        <w:numPr>
          <w:ilvl w:val="1"/>
          <w:numId w:val="1"/>
        </w:numPr>
        <w:tabs>
          <w:tab w:val="left" w:pos="1134"/>
        </w:tabs>
        <w:spacing w:before="120" w:beforeAutospacing="0" w:after="0" w:afterAutospacing="0"/>
        <w:ind w:left="0" w:firstLine="567"/>
        <w:jc w:val="both"/>
        <w:textAlignment w:val="baseline"/>
      </w:pPr>
      <w:r>
        <w:t>A sessão pública poderá ser reaberta:</w:t>
      </w:r>
    </w:p>
    <w:p>
      <w:pPr>
        <w:pStyle w:val="3"/>
        <w:numPr>
          <w:ilvl w:val="2"/>
          <w:numId w:val="1"/>
        </w:numPr>
        <w:tabs>
          <w:tab w:val="left" w:pos="1134"/>
        </w:tabs>
        <w:spacing w:before="0" w:beforeAutospacing="0" w:after="0" w:afterAutospacing="0"/>
        <w:jc w:val="both"/>
        <w:textAlignment w:val="baseline"/>
      </w:pPr>
      <w: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3"/>
        <w:numPr>
          <w:ilvl w:val="2"/>
          <w:numId w:val="1"/>
        </w:numPr>
        <w:tabs>
          <w:tab w:val="left" w:pos="1134"/>
        </w:tabs>
        <w:spacing w:before="0" w:beforeAutospacing="0" w:after="0" w:afterAutospacing="0"/>
        <w:jc w:val="both"/>
        <w:textAlignment w:val="baseline"/>
      </w:pPr>
      <w: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rStyle w:val="54"/>
        </w:rPr>
        <w:instrText xml:space="preserve"> HYPERLINK "https://www.planalto.gov.br/ccivil_03/leis/lcp/lcp123.htm" \l "art43"</w:instrText>
      </w:r>
      <w:r>
        <w:rPr>
          <w:rStyle w:val="54"/>
        </w:rPr>
        <w:fldChar w:fldCharType="separate"/>
      </w:r>
      <w:r>
        <w:rPr>
          <w:rStyle w:val="54"/>
        </w:rPr>
        <w:t>art. 43, §1º, da Lei Complementar Federal nº 123, de 2006</w:t>
      </w:r>
      <w:r>
        <w:rPr>
          <w:rStyle w:val="54"/>
        </w:rPr>
        <w:fldChar w:fldCharType="end"/>
      </w:r>
      <w:r>
        <w:t>. Nessas hipóteses, serão adotados os procedimentos imediatamente posteriores ao encerramento da etapa de lances.</w:t>
      </w:r>
    </w:p>
    <w:p>
      <w:pPr>
        <w:pStyle w:val="3"/>
        <w:numPr>
          <w:ilvl w:val="1"/>
          <w:numId w:val="1"/>
        </w:numPr>
        <w:tabs>
          <w:tab w:val="left" w:pos="1134"/>
        </w:tabs>
        <w:spacing w:before="0" w:beforeAutospacing="0" w:after="0" w:afterAutospacing="0"/>
        <w:ind w:left="0" w:firstLine="567"/>
        <w:jc w:val="both"/>
        <w:textAlignment w:val="baseline"/>
      </w:pPr>
      <w:r>
        <w:t>Todos os licitantes remanescentes deverão ser convocados para acompanhar a sessão reaberta.</w:t>
      </w:r>
    </w:p>
    <w:p>
      <w:pPr>
        <w:pStyle w:val="3"/>
        <w:numPr>
          <w:ilvl w:val="1"/>
          <w:numId w:val="1"/>
        </w:numPr>
        <w:tabs>
          <w:tab w:val="left" w:pos="1134"/>
        </w:tabs>
        <w:spacing w:before="0" w:beforeAutospacing="0" w:after="0" w:afterAutospacing="0"/>
        <w:ind w:left="0" w:firstLine="567"/>
        <w:jc w:val="both"/>
        <w:textAlignment w:val="baseline"/>
      </w:pPr>
      <w:r>
        <w:t>A convocação se dará por meio do sistema eletrônico (“</w:t>
      </w:r>
      <w:r>
        <w:rPr>
          <w:i/>
          <w:iCs/>
        </w:rPr>
        <w:t>chat</w:t>
      </w:r>
      <w:r>
        <w:t xml:space="preserve">”) ou </w:t>
      </w:r>
      <w:r>
        <w:rPr>
          <w:i/>
          <w:iCs/>
        </w:rPr>
        <w:t>e-mail</w:t>
      </w:r>
      <w:r>
        <w:t>, de acordo com a fase do procedimento licitatório, de acordo com o endereço eletrônico registrado na proposta.</w:t>
      </w:r>
    </w:p>
    <w:p>
      <w:pPr>
        <w:pStyle w:val="2"/>
        <w:spacing w:before="360" w:after="0"/>
        <w:rPr>
          <w:rStyle w:val="45"/>
          <w:b w:val="0"/>
          <w:bCs w:val="0"/>
        </w:rPr>
      </w:pPr>
      <w:bookmarkStart w:id="40" w:name="_Toc149517457"/>
      <w:r>
        <w:rPr>
          <w:rStyle w:val="45"/>
        </w:rPr>
        <w:t>ENCERRAMENTO DA LICITAÇÃO</w:t>
      </w:r>
      <w:bookmarkEnd w:id="40"/>
    </w:p>
    <w:p>
      <w:pPr>
        <w:pStyle w:val="3"/>
        <w:numPr>
          <w:ilvl w:val="1"/>
          <w:numId w:val="1"/>
        </w:numPr>
        <w:tabs>
          <w:tab w:val="left" w:pos="1134"/>
        </w:tabs>
        <w:spacing w:before="120" w:beforeAutospacing="0" w:after="120" w:afterAutospacing="0"/>
        <w:ind w:left="0" w:firstLine="567"/>
        <w:jc w:val="both"/>
        <w:textAlignment w:val="baseline"/>
      </w:pPr>
      <w:r>
        <w:t xml:space="preserve">Nos </w:t>
      </w:r>
      <w:r>
        <w:rPr>
          <w:color w:val="000000"/>
        </w:rPr>
        <w:t>termos</w:t>
      </w:r>
      <w:r>
        <w:t xml:space="preserve"> do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da Lei Federal nº 14.133, de 2021</w:t>
      </w:r>
      <w:r>
        <w:rPr>
          <w:rStyle w:val="54"/>
        </w:rPr>
        <w:fldChar w:fldCharType="end"/>
      </w:r>
      <w:r>
        <w:t>, encerradas as fases de julgamento e habilitação, e exauridos os recursos administrativos, o processo licitatório será encaminhado à autoridade superior, que poderá:</w:t>
      </w:r>
    </w:p>
    <w:p>
      <w:pPr>
        <w:pStyle w:val="3"/>
        <w:numPr>
          <w:ilvl w:val="2"/>
          <w:numId w:val="9"/>
        </w:numPr>
        <w:tabs>
          <w:tab w:val="left" w:pos="1134"/>
        </w:tabs>
        <w:spacing w:before="120" w:after="0"/>
      </w:pPr>
      <w:r>
        <w:t>determinar o retorno dos autos para saneamento de irregularidades;</w:t>
      </w:r>
    </w:p>
    <w:p>
      <w:pPr>
        <w:pStyle w:val="3"/>
        <w:numPr>
          <w:ilvl w:val="2"/>
          <w:numId w:val="9"/>
        </w:numPr>
        <w:tabs>
          <w:tab w:val="left" w:pos="1134"/>
        </w:tabs>
        <w:spacing w:before="0" w:after="0"/>
      </w:pPr>
      <w:r>
        <w:t>revogar a licitação por motivo de conveniência e oportunidade;</w:t>
      </w:r>
    </w:p>
    <w:p>
      <w:pPr>
        <w:pStyle w:val="3"/>
        <w:numPr>
          <w:ilvl w:val="2"/>
          <w:numId w:val="9"/>
        </w:numPr>
        <w:tabs>
          <w:tab w:val="left" w:pos="1134"/>
        </w:tabs>
        <w:spacing w:before="0" w:after="0"/>
      </w:pPr>
      <w:r>
        <w:t>proceder à anulação da licitação, de ofício ou mediante provocação de terceiros, sempre que presente ilegalidade insanável;</w:t>
      </w:r>
    </w:p>
    <w:p>
      <w:pPr>
        <w:pStyle w:val="3"/>
        <w:numPr>
          <w:ilvl w:val="2"/>
          <w:numId w:val="9"/>
        </w:numPr>
        <w:tabs>
          <w:tab w:val="left" w:pos="1134"/>
        </w:tabs>
        <w:spacing w:before="0" w:after="120"/>
      </w:pPr>
      <w:r>
        <w:t>adjudicar o objeto e homologar a licitação.</w:t>
      </w:r>
    </w:p>
    <w:p>
      <w:pPr>
        <w:pStyle w:val="3"/>
        <w:numPr>
          <w:ilvl w:val="1"/>
          <w:numId w:val="1"/>
        </w:numPr>
        <w:tabs>
          <w:tab w:val="left" w:pos="1134"/>
        </w:tabs>
        <w:spacing w:before="120" w:beforeAutospacing="0" w:after="0" w:afterAutospacing="0"/>
        <w:ind w:left="0" w:firstLine="567"/>
        <w:jc w:val="both"/>
        <w:textAlignment w:val="baseline"/>
      </w:pPr>
      <w:r>
        <w:t xml:space="preserve">Ao </w:t>
      </w:r>
      <w:r>
        <w:rPr>
          <w:color w:val="000000"/>
        </w:rPr>
        <w:t>pronunciar</w:t>
      </w:r>
      <w: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§1º,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O motivo determinante para a revogação do processo licitatório deverá ser resultante de fato superveniente devidamente comprovado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§2º,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Nos casos de anulação e revogação, será assegurada a prévia manifestação dos interessados (</w:t>
      </w:r>
      <w:r>
        <w:fldChar w:fldCharType="begin"/>
      </w:r>
      <w:r>
        <w:rPr>
          <w:rStyle w:val="54"/>
        </w:rPr>
        <w:instrText xml:space="preserve"> HYPERLINK "https://www.planalto.gov.br/ccivil_03/_ato2019-2022/2021/lei/l14133.htm" \l "art71"</w:instrText>
      </w:r>
      <w:r>
        <w:rPr>
          <w:rStyle w:val="54"/>
        </w:rPr>
        <w:fldChar w:fldCharType="separate"/>
      </w:r>
      <w:r>
        <w:rPr>
          <w:rStyle w:val="54"/>
        </w:rPr>
        <w:t>art. 71, §3º, da Lei Federal nº 14.133, de 2021</w:t>
      </w:r>
      <w:r>
        <w:rPr>
          <w:rStyle w:val="54"/>
        </w:rPr>
        <w:fldChar w:fldCharType="end"/>
      </w:r>
      <w:r>
        <w:t>).</w:t>
      </w:r>
    </w:p>
    <w:p>
      <w:pPr>
        <w:pStyle w:val="2"/>
        <w:spacing w:before="360" w:after="0"/>
        <w:rPr>
          <w:rStyle w:val="45"/>
          <w:b w:val="0"/>
          <w:bCs w:val="0"/>
        </w:rPr>
      </w:pPr>
      <w:bookmarkStart w:id="41" w:name="_Toc144196064"/>
      <w:bookmarkStart w:id="42" w:name="_Toc149517458"/>
      <w:r>
        <w:rPr>
          <w:rStyle w:val="45"/>
        </w:rPr>
        <w:t>REGISTRO DE PREÇOS</w:t>
      </w:r>
      <w:bookmarkEnd w:id="41"/>
      <w:bookmarkEnd w:id="42"/>
    </w:p>
    <w:p>
      <w:pPr>
        <w:pStyle w:val="3"/>
        <w:numPr>
          <w:ilvl w:val="1"/>
          <w:numId w:val="1"/>
        </w:numPr>
        <w:tabs>
          <w:tab w:val="left" w:pos="1134"/>
        </w:tabs>
        <w:spacing w:before="120" w:beforeAutospacing="0" w:after="0" w:afterAutospacing="0"/>
        <w:ind w:left="0" w:firstLine="567"/>
        <w:jc w:val="both"/>
        <w:textAlignment w:val="baseline"/>
      </w:pPr>
      <w: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3"/>
        <w:numPr>
          <w:ilvl w:val="1"/>
          <w:numId w:val="1"/>
        </w:numPr>
        <w:tabs>
          <w:tab w:val="left" w:pos="1134"/>
        </w:tabs>
        <w:spacing w:before="0" w:beforeAutospacing="0" w:after="0" w:afterAutospacing="0"/>
        <w:ind w:left="0" w:firstLine="567"/>
        <w:jc w:val="both"/>
        <w:textAlignment w:val="baseline"/>
      </w:pPr>
      <w:r>
        <w:t>O prazo de convocação poderá ser prorrogado uma vez, por igual período, mediante solicitação do licitante mais bem classificado ou do fornecedor convocado, desde que:</w:t>
      </w:r>
    </w:p>
    <w:p>
      <w:pPr>
        <w:pStyle w:val="3"/>
        <w:numPr>
          <w:ilvl w:val="2"/>
          <w:numId w:val="1"/>
        </w:numPr>
        <w:tabs>
          <w:tab w:val="left" w:pos="1134"/>
        </w:tabs>
        <w:spacing w:before="0" w:beforeAutospacing="0" w:after="0" w:afterAutospacing="0"/>
        <w:jc w:val="both"/>
        <w:textAlignment w:val="baseline"/>
      </w:pPr>
      <w:r>
        <w:t>a solicitação seja devidamente justificada e apresentada dentro do prazo; e</w:t>
      </w:r>
    </w:p>
    <w:p>
      <w:pPr>
        <w:pStyle w:val="3"/>
        <w:numPr>
          <w:ilvl w:val="2"/>
          <w:numId w:val="1"/>
        </w:numPr>
        <w:tabs>
          <w:tab w:val="left" w:pos="1134"/>
        </w:tabs>
        <w:spacing w:before="0" w:beforeAutospacing="0" w:after="0" w:afterAutospacing="0"/>
        <w:jc w:val="both"/>
        <w:textAlignment w:val="baseline"/>
      </w:pPr>
      <w:r>
        <w:t>a justificativa apresentada seja aceita pela Administração.</w:t>
      </w:r>
    </w:p>
    <w:p>
      <w:pPr>
        <w:pStyle w:val="3"/>
        <w:numPr>
          <w:ilvl w:val="1"/>
          <w:numId w:val="1"/>
        </w:numPr>
        <w:tabs>
          <w:tab w:val="left" w:pos="1134"/>
        </w:tabs>
        <w:spacing w:before="0" w:beforeAutospacing="0" w:after="0" w:afterAutospacing="0"/>
        <w:ind w:left="0" w:firstLine="567"/>
        <w:jc w:val="both"/>
        <w:textAlignment w:val="baseline"/>
      </w:pPr>
      <w:r>
        <w:t>A ata de registro de preços será assinada por meio de assinatura digital e disponibilizada no sistema de registro de preços.</w:t>
      </w:r>
    </w:p>
    <w:p>
      <w:pPr>
        <w:pStyle w:val="3"/>
        <w:numPr>
          <w:ilvl w:val="1"/>
          <w:numId w:val="1"/>
        </w:numPr>
        <w:tabs>
          <w:tab w:val="left" w:pos="1134"/>
        </w:tabs>
        <w:spacing w:before="0" w:beforeAutospacing="0" w:after="0" w:afterAutospacing="0"/>
        <w:ind w:left="0" w:firstLine="567"/>
        <w:jc w:val="both"/>
        <w:textAlignment w:val="baseline"/>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3"/>
        <w:numPr>
          <w:ilvl w:val="1"/>
          <w:numId w:val="1"/>
        </w:numPr>
        <w:tabs>
          <w:tab w:val="left" w:pos="1134"/>
        </w:tabs>
        <w:spacing w:before="0" w:beforeAutospacing="0" w:after="0" w:afterAutospacing="0"/>
        <w:ind w:left="0" w:firstLine="567"/>
        <w:jc w:val="both"/>
        <w:textAlignment w:val="baseline"/>
      </w:pPr>
      <w:r>
        <w:t>O preço registrado, com a indicação dos fornecedores, será divulgado no PNCP (</w:t>
      </w:r>
      <w:r>
        <w:fldChar w:fldCharType="begin"/>
      </w:r>
      <w:r>
        <w:instrText xml:space="preserve"> HYPERLINK "https://pncp.gov.br/" \h </w:instrText>
      </w:r>
      <w:r>
        <w:fldChar w:fldCharType="separate"/>
      </w:r>
      <w:r>
        <w:rPr>
          <w:rStyle w:val="54"/>
        </w:rPr>
        <w:t>https://pncp.gov.br/</w:t>
      </w:r>
      <w:r>
        <w:rPr>
          <w:rStyle w:val="54"/>
        </w:rPr>
        <w:fldChar w:fldCharType="end"/>
      </w:r>
      <w:r>
        <w:t>) e disponibilizado durante a vigência da ata de registro de preços.</w:t>
      </w:r>
    </w:p>
    <w:p>
      <w:pPr>
        <w:pStyle w:val="3"/>
        <w:numPr>
          <w:ilvl w:val="1"/>
          <w:numId w:val="1"/>
        </w:numPr>
        <w:tabs>
          <w:tab w:val="left" w:pos="1134"/>
        </w:tabs>
        <w:spacing w:before="0" w:beforeAutospacing="0" w:after="0" w:afterAutospacing="0"/>
        <w:ind w:left="0" w:firstLine="567"/>
        <w:jc w:val="both"/>
        <w:textAlignment w:val="baseline"/>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3"/>
        <w:numPr>
          <w:ilvl w:val="1"/>
          <w:numId w:val="1"/>
        </w:numPr>
        <w:tabs>
          <w:tab w:val="left" w:pos="1134"/>
        </w:tabs>
        <w:spacing w:before="0" w:beforeAutospacing="0" w:after="0" w:afterAutospacing="0"/>
        <w:ind w:left="0" w:firstLine="567"/>
        <w:jc w:val="both"/>
        <w:textAlignment w:val="baseline"/>
      </w:pPr>
      <w:r>
        <w:t>A Ata de Registro de Preços - ARP terá validade de 1 (um) ano, podendo ser prorrogada por igual período, desde que comprovado o preço vantajoso, limitada a 2 (dois) anos.</w:t>
      </w:r>
    </w:p>
    <w:p>
      <w:pPr>
        <w:pStyle w:val="3"/>
        <w:numPr>
          <w:ilvl w:val="1"/>
          <w:numId w:val="1"/>
        </w:numPr>
        <w:tabs>
          <w:tab w:val="left" w:pos="1134"/>
        </w:tabs>
        <w:spacing w:before="0" w:beforeAutospacing="0" w:after="0" w:afterAutospacing="0"/>
        <w:ind w:left="0" w:firstLine="567"/>
        <w:jc w:val="both"/>
        <w:textAlignment w:val="baseline"/>
      </w:pPr>
      <w:r>
        <w:t xml:space="preserve">Em caso de prorrogação, será garantido o REAJUSTE previsto no item </w:t>
      </w:r>
      <w:r>
        <w:fldChar w:fldCharType="begin"/>
      </w:r>
      <w:r>
        <w:instrText xml:space="preserve"> HYPERLINK \l "_REAJUSTE_(art._92," \h </w:instrText>
      </w:r>
      <w:r>
        <w:fldChar w:fldCharType="separate"/>
      </w:r>
      <w:r>
        <w:rPr>
          <w:rStyle w:val="54"/>
        </w:rPr>
        <w:t>“37 - REAJUSTE”</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3"/>
        <w:numPr>
          <w:ilvl w:val="1"/>
          <w:numId w:val="1"/>
        </w:numPr>
        <w:tabs>
          <w:tab w:val="left" w:pos="1134"/>
        </w:tabs>
        <w:spacing w:before="0" w:beforeAutospacing="0" w:after="0" w:afterAutospacing="0"/>
        <w:ind w:left="0" w:firstLine="567"/>
        <w:jc w:val="both"/>
        <w:textAlignment w:val="baseline"/>
      </w:pPr>
      <w: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rStyle w:val="54"/>
        </w:rPr>
        <w:instrText xml:space="preserve"> HYPERLINK "https://www.planalto.gov.br/ccivil_03/_ato2019-2022/2021/lei/l14133.htm" \l "art86"</w:instrText>
      </w:r>
      <w:r>
        <w:rPr>
          <w:rStyle w:val="54"/>
        </w:rPr>
        <w:fldChar w:fldCharType="separate"/>
      </w:r>
      <w:r>
        <w:rPr>
          <w:rStyle w:val="54"/>
        </w:rPr>
        <w:t>art. 86, § 4º,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rStyle w:val="54"/>
        </w:rPr>
        <w:instrText xml:space="preserve"> HYPERLINK "https://www.planalto.gov.br/ccivil_03/_ato2019-2022/2021/lei/l14133.htm" \l "art86"</w:instrText>
      </w:r>
      <w:r>
        <w:rPr>
          <w:rStyle w:val="54"/>
        </w:rPr>
        <w:fldChar w:fldCharType="separate"/>
      </w:r>
      <w:r>
        <w:rPr>
          <w:rStyle w:val="54"/>
        </w:rPr>
        <w:t>art. 86, § 5º,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É expressamente proibida a participação de órgão ou entidade pública que já participe de outro SRP em andamento, ou integre outra ARP, com objetos semelhantes ao do presente SRP (</w:t>
      </w:r>
      <w:r>
        <w:fldChar w:fldCharType="begin"/>
      </w:r>
      <w:r>
        <w:rPr>
          <w:rStyle w:val="54"/>
        </w:rPr>
        <w:instrText xml:space="preserve"> HYPERLINK "https://www.planalto.gov.br/ccivil_03/_ato2019-2022/2021/lei/l14133.htm" \l "art82"</w:instrText>
      </w:r>
      <w:r>
        <w:rPr>
          <w:rStyle w:val="54"/>
        </w:rPr>
        <w:fldChar w:fldCharType="separate"/>
      </w:r>
      <w:r>
        <w:rPr>
          <w:rStyle w:val="54"/>
        </w:rPr>
        <w:t>art. 82, VIII, da 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Não poderá haver acréscimo(s) no(s) quantitativo(s) registrado(s) na ARP.</w:t>
      </w:r>
    </w:p>
    <w:p>
      <w:pPr>
        <w:pStyle w:val="3"/>
        <w:numPr>
          <w:ilvl w:val="1"/>
          <w:numId w:val="1"/>
        </w:numPr>
        <w:tabs>
          <w:tab w:val="left" w:pos="1134"/>
        </w:tabs>
        <w:spacing w:before="0" w:beforeAutospacing="0" w:after="0" w:afterAutospacing="0"/>
        <w:ind w:left="0" w:firstLine="567"/>
        <w:jc w:val="both"/>
        <w:textAlignment w:val="baseline"/>
      </w:pPr>
      <w:r>
        <w:t xml:space="preserve">Caberá à </w:t>
      </w:r>
      <w:r>
        <w:rPr>
          <w:color w:val="000000"/>
        </w:rPr>
        <w:t>Câmara Municipal de Primavera do Leste - MT</w:t>
      </w:r>
      <w:r>
        <w:t xml:space="preserve"> o gerenciamento e controle da ARP no seu próprio interesse, como também a formalização, gestão e fiscalização de suas próprias contratações, observadas as atribuições e competências indicadas na Minuta da ARP (</w:t>
      </w:r>
      <w:r>
        <w:fldChar w:fldCharType="begin"/>
      </w:r>
      <w:r>
        <w:instrText xml:space="preserve"> HYPERLINK \l "_ANEXO_IV_-" \h </w:instrText>
      </w:r>
      <w:r>
        <w:fldChar w:fldCharType="separate"/>
      </w:r>
      <w:r>
        <w:rPr>
          <w:rStyle w:val="54"/>
        </w:rPr>
        <w:t>Anexo IV</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t xml:space="preserve">O Particular, titular do Registro de Preços, obriga-se a cumprir integralmente as obrigações contidas na ARP, salvo quando houver cancelamento ou rescisão do registro, submetendo-se às sanções administrativas previstas no item </w:t>
      </w:r>
      <w:r>
        <w:fldChar w:fldCharType="begin"/>
      </w:r>
      <w:r>
        <w:instrText xml:space="preserve"> HYPERLINK \l "_SANÇÕES_ADMINISTRATIVAS" \h </w:instrText>
      </w:r>
      <w:r>
        <w:fldChar w:fldCharType="separate"/>
      </w:r>
      <w:r>
        <w:rPr>
          <w:rStyle w:val="54"/>
        </w:rPr>
        <w:t>“38 - SANÇÕES ADMINISTRATIVAS”</w:t>
      </w:r>
      <w:r>
        <w:rPr>
          <w:rStyle w:val="54"/>
        </w:rPr>
        <w:fldChar w:fldCharType="end"/>
      </w:r>
      <w:r>
        <w:t xml:space="preserve"> em caso de inadimplência, observado o devido processo legal.</w:t>
      </w:r>
    </w:p>
    <w:p>
      <w:pPr>
        <w:pStyle w:val="2"/>
        <w:spacing w:before="360" w:after="0"/>
        <w:rPr>
          <w:rStyle w:val="45"/>
          <w:b w:val="0"/>
          <w:bCs w:val="0"/>
        </w:rPr>
      </w:pPr>
      <w:bookmarkStart w:id="43" w:name="_Toc149517459"/>
      <w:bookmarkStart w:id="44" w:name="_Toc144196065"/>
      <w:r>
        <w:rPr>
          <w:rStyle w:val="45"/>
        </w:rPr>
        <w:t>FORMAÇÃO DO CADASTRO DE RESERVA</w:t>
      </w:r>
      <w:bookmarkEnd w:id="43"/>
      <w:bookmarkEnd w:id="44"/>
    </w:p>
    <w:p>
      <w:pPr>
        <w:pStyle w:val="3"/>
        <w:numPr>
          <w:ilvl w:val="1"/>
          <w:numId w:val="1"/>
        </w:numPr>
        <w:tabs>
          <w:tab w:val="left" w:pos="1134"/>
        </w:tabs>
        <w:spacing w:before="120" w:beforeAutospacing="0" w:after="0" w:afterAutospacing="0"/>
        <w:ind w:left="0" w:firstLine="567"/>
        <w:jc w:val="both"/>
        <w:textAlignment w:val="baseline"/>
      </w:pPr>
      <w:r>
        <w:t>Após a homologação da licitação, será incluído na ata, na forma de anexo, o registro:</w:t>
      </w:r>
    </w:p>
    <w:p>
      <w:pPr>
        <w:pStyle w:val="3"/>
        <w:numPr>
          <w:ilvl w:val="2"/>
          <w:numId w:val="1"/>
        </w:numPr>
        <w:tabs>
          <w:tab w:val="left" w:pos="1134"/>
        </w:tabs>
        <w:spacing w:before="0" w:beforeAutospacing="0" w:after="0" w:afterAutospacing="0"/>
        <w:jc w:val="both"/>
        <w:textAlignment w:val="baseline"/>
      </w:pPr>
      <w:r>
        <w:t xml:space="preserve">dos licitantes </w:t>
      </w:r>
      <w:bookmarkStart w:id="45" w:name="_Hlk132991372"/>
      <w:r>
        <w:t xml:space="preserve">que </w:t>
      </w:r>
      <w:bookmarkStart w:id="46" w:name="_Hlk132989696"/>
      <w:r>
        <w:t>aceitarem cotar o objeto com preço igual ao do adjudicatári</w:t>
      </w:r>
      <w:bookmarkEnd w:id="45"/>
      <w:r>
        <w:t>o</w:t>
      </w:r>
      <w:bookmarkEnd w:id="46"/>
      <w:r>
        <w:t xml:space="preserve">, observada a classificação na licitação; e </w:t>
      </w:r>
    </w:p>
    <w:p>
      <w:pPr>
        <w:pStyle w:val="3"/>
        <w:numPr>
          <w:ilvl w:val="2"/>
          <w:numId w:val="1"/>
        </w:numPr>
        <w:tabs>
          <w:tab w:val="left" w:pos="1134"/>
        </w:tabs>
        <w:spacing w:before="0" w:beforeAutospacing="0" w:after="0" w:afterAutospacing="0"/>
        <w:jc w:val="both"/>
        <w:textAlignment w:val="baseline"/>
      </w:pPr>
      <w:r>
        <w:t>dos licitantes que mantiverem sua proposta original</w:t>
      </w:r>
    </w:p>
    <w:p>
      <w:pPr>
        <w:pStyle w:val="3"/>
        <w:numPr>
          <w:ilvl w:val="1"/>
          <w:numId w:val="1"/>
        </w:numPr>
        <w:tabs>
          <w:tab w:val="left" w:pos="1134"/>
        </w:tabs>
        <w:spacing w:before="0" w:beforeAutospacing="0" w:after="0" w:afterAutospacing="0"/>
        <w:ind w:left="0" w:firstLine="567"/>
        <w:jc w:val="both"/>
        <w:textAlignment w:val="baseline"/>
      </w:pPr>
      <w:r>
        <w:t>Será respeitada, nas contratações, a ordem de classificação dos licitantes ou fornecedores registrados na ata.</w:t>
      </w:r>
    </w:p>
    <w:p>
      <w:pPr>
        <w:pStyle w:val="3"/>
        <w:numPr>
          <w:ilvl w:val="1"/>
          <w:numId w:val="1"/>
        </w:numPr>
        <w:tabs>
          <w:tab w:val="left" w:pos="1134"/>
        </w:tabs>
        <w:spacing w:before="0" w:beforeAutospacing="0" w:after="0" w:afterAutospacing="0"/>
        <w:ind w:left="0" w:firstLine="567"/>
        <w:jc w:val="both"/>
        <w:textAlignment w:val="baseline"/>
      </w:pPr>
      <w:r>
        <w:t>A apresentação de novas propostas na forma deste item não prejudicará o resultado do certame em relação ao licitante mais bem classificado.</w:t>
      </w:r>
    </w:p>
    <w:p>
      <w:pPr>
        <w:pStyle w:val="3"/>
        <w:numPr>
          <w:ilvl w:val="1"/>
          <w:numId w:val="1"/>
        </w:numPr>
        <w:tabs>
          <w:tab w:val="left" w:pos="1134"/>
        </w:tabs>
        <w:spacing w:before="0" w:beforeAutospacing="0" w:after="0" w:afterAutospacing="0"/>
        <w:ind w:left="0" w:firstLine="567"/>
        <w:jc w:val="both"/>
        <w:textAlignment w:val="baseline"/>
      </w:pPr>
      <w:r>
        <w:t>Para fins da ordem de classificação, os licitantes ou fornecedores que aceitarem cotar o objeto com preço igual ao do adjudicatário antecederão aqueles que mantiverem sua proposta original.</w:t>
      </w:r>
    </w:p>
    <w:p>
      <w:pPr>
        <w:pStyle w:val="3"/>
        <w:numPr>
          <w:ilvl w:val="1"/>
          <w:numId w:val="1"/>
        </w:numPr>
        <w:tabs>
          <w:tab w:val="left" w:pos="1134"/>
        </w:tabs>
        <w:spacing w:before="0" w:beforeAutospacing="0" w:after="0" w:afterAutospacing="0"/>
        <w:ind w:left="0" w:firstLine="567"/>
        <w:jc w:val="both"/>
        <w:textAlignment w:val="baseline"/>
      </w:pPr>
      <w:r>
        <w:t xml:space="preserve"> A habilitação dos licitantes que comporão o cadastro de reserva será efetuada quando houver necessidade de contratação dos licitantes remanescentes, nas seguintes hipóteses:</w:t>
      </w:r>
    </w:p>
    <w:p>
      <w:pPr>
        <w:pStyle w:val="3"/>
        <w:numPr>
          <w:ilvl w:val="2"/>
          <w:numId w:val="1"/>
        </w:numPr>
        <w:tabs>
          <w:tab w:val="left" w:pos="1134"/>
        </w:tabs>
        <w:spacing w:before="0" w:beforeAutospacing="0" w:after="0" w:afterAutospacing="0"/>
        <w:jc w:val="both"/>
        <w:textAlignment w:val="baseline"/>
      </w:pPr>
      <w:r>
        <w:t>quando o licitante vencedor não assinar a ata de registro de preços no prazo e nas condições estabelecidos no edital; ou</w:t>
      </w:r>
    </w:p>
    <w:p>
      <w:pPr>
        <w:pStyle w:val="3"/>
        <w:numPr>
          <w:ilvl w:val="2"/>
          <w:numId w:val="1"/>
        </w:numPr>
        <w:tabs>
          <w:tab w:val="left" w:pos="1134"/>
        </w:tabs>
        <w:spacing w:before="0" w:beforeAutospacing="0" w:after="0" w:afterAutospacing="0"/>
        <w:jc w:val="both"/>
        <w:textAlignment w:val="baseline"/>
      </w:pPr>
      <w:r>
        <w:t>quando houver o cancelamento do registro do fornecedor ou do registro de preços.</w:t>
      </w:r>
    </w:p>
    <w:p>
      <w:pPr>
        <w:pStyle w:val="3"/>
        <w:numPr>
          <w:ilvl w:val="1"/>
          <w:numId w:val="1"/>
        </w:numPr>
        <w:tabs>
          <w:tab w:val="left" w:pos="1134"/>
        </w:tabs>
        <w:spacing w:before="0" w:beforeAutospacing="0" w:after="0" w:afterAutospacing="0"/>
        <w:ind w:left="0" w:firstLine="567"/>
        <w:jc w:val="both"/>
        <w:textAlignment w:val="baseline"/>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3"/>
        <w:numPr>
          <w:ilvl w:val="2"/>
          <w:numId w:val="1"/>
        </w:numPr>
        <w:tabs>
          <w:tab w:val="left" w:pos="1134"/>
        </w:tabs>
        <w:spacing w:before="0" w:beforeAutospacing="0" w:after="0" w:afterAutospacing="0"/>
        <w:jc w:val="both"/>
        <w:textAlignment w:val="baseline"/>
      </w:pPr>
      <w:r>
        <w:t>convocar os licitantes que mantiveram sua proposta original para negociação, na ordem de classificação, com vistas à obtenção de preço melhor, mesmo que acima do preço do adjudicatário; ou</w:t>
      </w:r>
    </w:p>
    <w:p>
      <w:pPr>
        <w:pStyle w:val="3"/>
        <w:numPr>
          <w:ilvl w:val="2"/>
          <w:numId w:val="1"/>
        </w:numPr>
        <w:tabs>
          <w:tab w:val="left" w:pos="1134"/>
        </w:tabs>
        <w:spacing w:before="0" w:beforeAutospacing="0" w:after="0" w:afterAutospacing="0"/>
        <w:jc w:val="both"/>
        <w:textAlignment w:val="baseline"/>
      </w:pPr>
      <w:r>
        <w:t>adjudicar e firmar o contrato nas condições ofertadas pelos licitantes remanescentes, observada a ordem de classificação, quando frustrada a negociação de melhor condição.</w:t>
      </w:r>
    </w:p>
    <w:p>
      <w:pPr>
        <w:pStyle w:val="2"/>
        <w:spacing w:before="360" w:after="0"/>
        <w:rPr>
          <w:rStyle w:val="45"/>
          <w:b w:val="0"/>
          <w:bCs w:val="0"/>
        </w:rPr>
      </w:pPr>
      <w:bookmarkStart w:id="47" w:name="_Toc149517460"/>
      <w:r>
        <w:rPr>
          <w:rStyle w:val="45"/>
        </w:rPr>
        <w:t>CONTRATAÇÃO</w:t>
      </w:r>
      <w:bookmarkEnd w:id="47"/>
      <w:r>
        <w:rPr>
          <w:rStyle w:val="45"/>
        </w:rPr>
        <w:t> </w:t>
      </w:r>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Previamente à contratação serão consultados os documentos de habilitação da empresa beneficiária da ARP, que deverão ser mantidas pelo licitante durante</w:t>
      </w:r>
      <w:r>
        <w:rPr>
          <w:color w:val="000000"/>
        </w:rPr>
        <w:br w:type="textWrapping"/>
      </w:r>
      <w:r>
        <w:rPr>
          <w:color w:val="000000"/>
        </w:rPr>
        <w:t>a vigência do contrato ou da ata de registro de preços, assim como serão verificadas as ocorrências impeditivas indiretas.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Na hipótese de irregularidades na habilitação, a empresa beneficiária da ARP deverá regularizar a sua situação no prazo de até 05 (cinco) dias úteis, sob</w:t>
      </w:r>
      <w:r>
        <w:rPr>
          <w:color w:val="000000"/>
        </w:rPr>
        <w:br w:type="textWrapping"/>
      </w:r>
      <w:r>
        <w:rPr>
          <w:color w:val="000000"/>
        </w:rPr>
        <w:t xml:space="preserve">pena de aplicação das penalidades previstas na cláusula </w:t>
      </w:r>
      <w:r>
        <w:fldChar w:fldCharType="begin"/>
      </w:r>
      <w:r>
        <w:instrText xml:space="preserve"> HYPERLINK \l "_SANÇÕES_ADMINISTRATIVAS" \h </w:instrText>
      </w:r>
      <w:r>
        <w:fldChar w:fldCharType="separate"/>
      </w:r>
      <w:r>
        <w:rPr>
          <w:rStyle w:val="54"/>
        </w:rPr>
        <w:t>“41 - SANÇÕES ADMINISTRATIVAS”</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highlight w:val="none"/>
          <w:shd w:val="clear" w:fill="auto"/>
        </w:rPr>
      </w:pPr>
      <w:r>
        <w:rPr>
          <w:color w:val="000000"/>
          <w:shd w:val="clear" w:fill="auto"/>
        </w:rPr>
        <w:t xml:space="preserve">Como </w:t>
      </w:r>
      <w:r>
        <w:rPr>
          <w:shd w:val="clear" w:fill="auto"/>
        </w:rPr>
        <w:t>condição</w:t>
      </w:r>
      <w:r>
        <w:rPr>
          <w:color w:val="000000"/>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3"/>
        <w:numPr>
          <w:ilvl w:val="1"/>
          <w:numId w:val="1"/>
        </w:numPr>
        <w:tabs>
          <w:tab w:val="left" w:pos="1134"/>
        </w:tabs>
        <w:spacing w:before="0" w:beforeAutospacing="0" w:after="0" w:afterAutospacing="0"/>
        <w:ind w:left="0" w:firstLine="567"/>
        <w:jc w:val="both"/>
        <w:textAlignment w:val="baseline"/>
      </w:pPr>
      <w:r>
        <w:t xml:space="preserve">Nos termos do </w:t>
      </w:r>
      <w:r>
        <w:fldChar w:fldCharType="begin"/>
      </w:r>
      <w:r>
        <w:rPr>
          <w:rStyle w:val="54"/>
        </w:rPr>
        <w:instrText xml:space="preserve"> HYPERLINK "https://www.planalto.gov.br/ccivil_03/_ato2019-2022/2021/lei/l14133.htm" \l "art95"</w:instrText>
      </w:r>
      <w:r>
        <w:rPr>
          <w:rStyle w:val="54"/>
        </w:rPr>
        <w:fldChar w:fldCharType="separate"/>
      </w:r>
      <w:r>
        <w:rPr>
          <w:rStyle w:val="54"/>
        </w:rPr>
        <w:t>art. 95, da Lei Federal nº 14.133, de 2021</w:t>
      </w:r>
      <w:r>
        <w:rPr>
          <w:rStyle w:val="54"/>
        </w:rPr>
        <w:fldChar w:fldCharType="end"/>
      </w:r>
      <w:r>
        <w:t xml:space="preserve">, o Instrumento de Contrato a ser assinado será conforme minuta constante no </w:t>
      </w:r>
      <w:r>
        <w:fldChar w:fldCharType="begin"/>
      </w:r>
      <w:r>
        <w:instrText xml:space="preserve"> HYPERLINK \l "_ANEXO_VII_-" \h </w:instrText>
      </w:r>
      <w:r>
        <w:fldChar w:fldCharType="separate"/>
      </w:r>
      <w:r>
        <w:rPr>
          <w:rStyle w:val="54"/>
        </w:rPr>
        <w:t>Anexo VII</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VI e/ou IX,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VI,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Na hipótese de a licitante vencedora não assinar a Ata de Registro de Preços ou o o Instrumento de Contrato no prazo estabelecido, a Administração </w:t>
      </w:r>
      <w: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r>
        <w:fldChar w:fldCharType="begin"/>
      </w:r>
      <w:r>
        <w:instrText xml:space="preserve"> HYPERLINK "https://www.planalto.gov.br/ccivil_03/_ato2019-2022/2021/lei/l14133.htm" \h </w:instrText>
      </w:r>
      <w:r>
        <w:fldChar w:fldCharType="separate"/>
      </w:r>
      <w:r>
        <w:rPr>
          <w:rStyle w:val="54"/>
        </w:rPr>
        <w:t>Lei Federal nº 14.133, de 2021</w:t>
      </w:r>
      <w:r>
        <w:rPr>
          <w:rStyle w:val="54"/>
        </w:rPr>
        <w:fldChar w:fldCharType="end"/>
      </w:r>
      <w:r>
        <w:rPr>
          <w:color w:val="000000"/>
        </w:rPr>
        <w:t xml:space="preserve"> e em outras legislações aplicáveis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 2º, da Lei Federal nº 14.133, de 2021</w:t>
      </w:r>
      <w:r>
        <w:rPr>
          <w:rStyle w:val="54"/>
        </w:rPr>
        <w:fldChar w:fldCharType="end"/>
      </w:r>
      <w:r>
        <w:rPr>
          <w:color w:val="000000"/>
        </w:rPr>
        <w:t>).</w:t>
      </w:r>
    </w:p>
    <w:p>
      <w:pPr>
        <w:pStyle w:val="3"/>
        <w:numPr>
          <w:ilvl w:val="1"/>
          <w:numId w:val="1"/>
        </w:numPr>
        <w:tabs>
          <w:tab w:val="left" w:pos="1134"/>
        </w:tabs>
        <w:spacing w:before="0" w:beforeAutospacing="0" w:after="120" w:afterAutospacing="0"/>
        <w:ind w:left="0" w:firstLine="567"/>
        <w:jc w:val="both"/>
        <w:textAlignment w:val="baseline"/>
        <w:rPr>
          <w:color w:val="000000"/>
        </w:rPr>
      </w:pPr>
      <w:r>
        <w:rPr>
          <w:color w:val="000000"/>
        </w:rPr>
        <w:t xml:space="preserve">Caso nenhuma licitante aceite a contratação nos termos do item anterior, a Administração, </w:t>
      </w:r>
      <w:r>
        <w:t>observados</w:t>
      </w:r>
      <w:r>
        <w:rPr>
          <w:color w:val="000000"/>
        </w:rPr>
        <w:t xml:space="preserve"> o valor estimado e sua eventual atualização, se for o caso, poderá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 4º, da Lei Federal nº 14.133, de 2021</w:t>
      </w:r>
      <w:r>
        <w:rPr>
          <w:rStyle w:val="54"/>
        </w:rPr>
        <w:fldChar w:fldCharType="end"/>
      </w:r>
      <w:r>
        <w:rPr>
          <w:color w:val="000000"/>
        </w:rPr>
        <w:t>):</w:t>
      </w:r>
    </w:p>
    <w:p>
      <w:pPr>
        <w:pStyle w:val="3"/>
        <w:numPr>
          <w:ilvl w:val="2"/>
          <w:numId w:val="10"/>
        </w:numPr>
        <w:tabs>
          <w:tab w:val="left" w:pos="1134"/>
        </w:tabs>
        <w:spacing w:before="120" w:beforeAutospacing="0" w:after="0" w:afterAutospacing="0"/>
        <w:jc w:val="both"/>
        <w:textAlignment w:val="baseline"/>
        <w:rPr>
          <w:color w:val="000000"/>
        </w:rPr>
      </w:pPr>
      <w:r>
        <w:rPr>
          <w:color w:val="000000"/>
        </w:rPr>
        <w:t>convocar as licitantes remanescentes, na ordem de classificação, para negociação, com vista à obtenção de melhor preço, mesmo que acima do ofertado pela adjudicatária;</w:t>
      </w:r>
    </w:p>
    <w:p>
      <w:pPr>
        <w:pStyle w:val="3"/>
        <w:numPr>
          <w:ilvl w:val="2"/>
          <w:numId w:val="10"/>
        </w:numPr>
        <w:tabs>
          <w:tab w:val="left" w:pos="1134"/>
        </w:tabs>
        <w:spacing w:before="0" w:beforeAutospacing="0" w:after="120" w:afterAutospacing="0"/>
        <w:jc w:val="both"/>
        <w:textAlignment w:val="baseline"/>
        <w:rPr>
          <w:color w:val="000000"/>
        </w:rPr>
      </w:pPr>
      <w:r>
        <w:rPr>
          <w:color w:val="000000"/>
        </w:rPr>
        <w:t>adjudicar e celebrar a contratação nas condições ofertadas pelas licitantes remanescentes, na ordem de classificação, quando frustrada a negociação de melhor condição.</w:t>
      </w:r>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A </w:t>
      </w:r>
      <w: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§5º e 6º,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t>Decorrido</w:t>
      </w:r>
      <w:r>
        <w:rPr>
          <w:color w:val="000000"/>
        </w:rPr>
        <w:t xml:space="preserve"> o prazo de validade da proposta sem convocação para a assinatura da ARP, ficarão as licitantes liberadas do compromisso assumido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§3º, da Lei Federal nº 14.133, de 2021</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rStyle w:val="54"/>
        </w:rPr>
        <w:instrText xml:space="preserve"> HYPERLINK "https://www.planalto.gov.br/ccivil_03/_ato2019-2022/2021/lei/l14133.htm" \l "art90"</w:instrText>
      </w:r>
      <w:r>
        <w:rPr>
          <w:rStyle w:val="54"/>
        </w:rPr>
        <w:fldChar w:fldCharType="separate"/>
      </w:r>
      <w:r>
        <w:rPr>
          <w:rStyle w:val="54"/>
        </w:rPr>
        <w:t>art. 90, §7º, da Lei Federal nº 14.133, de 2021</w:t>
      </w:r>
      <w:r>
        <w:rPr>
          <w:rStyle w:val="54"/>
        </w:rPr>
        <w:fldChar w:fldCharType="end"/>
      </w:r>
      <w:r>
        <w:rPr>
          <w:color w:val="000000"/>
        </w:rPr>
        <w:t>).</w:t>
      </w:r>
    </w:p>
    <w:p>
      <w:pPr>
        <w:pStyle w:val="2"/>
        <w:spacing w:before="360" w:after="0"/>
        <w:rPr>
          <w:rStyle w:val="45"/>
          <w:b w:val="0"/>
          <w:bCs w:val="0"/>
        </w:rPr>
      </w:pPr>
      <w:bookmarkStart w:id="48" w:name="_SANÇÕES_ADMINISTRATIVAS"/>
      <w:bookmarkEnd w:id="48"/>
      <w:bookmarkStart w:id="49" w:name="_Toc149517461"/>
      <w:r>
        <w:rPr>
          <w:rStyle w:val="45"/>
        </w:rPr>
        <w:t>SANÇÕES ADMINISTRATIVAS DE LICITAÇÃO</w:t>
      </w:r>
      <w:bookmarkEnd w:id="49"/>
    </w:p>
    <w:p>
      <w:pPr>
        <w:pStyle w:val="3"/>
        <w:numPr>
          <w:ilvl w:val="1"/>
          <w:numId w:val="1"/>
        </w:numPr>
        <w:tabs>
          <w:tab w:val="left" w:pos="1134"/>
        </w:tabs>
        <w:spacing w:before="120" w:beforeAutospacing="0" w:after="0" w:afterAutospacing="0"/>
        <w:ind w:left="0" w:firstLine="567"/>
        <w:jc w:val="both"/>
        <w:textAlignment w:val="baseline"/>
        <w:rPr>
          <w:color w:val="000000"/>
        </w:rPr>
      </w:pPr>
      <w:r>
        <w:rPr>
          <w:color w:val="000000"/>
        </w:rPr>
        <w:t xml:space="preserve">No </w:t>
      </w:r>
      <w:r>
        <w:rPr>
          <w:color w:val="000000" w:themeColor="text1"/>
        </w:rPr>
        <w:t>caso</w:t>
      </w:r>
      <w:r>
        <w:rPr>
          <w:color w:val="000000"/>
        </w:rPr>
        <w:t xml:space="preserve"> de a licitante ou a contratada incorrer em uma ou mais condutas tipificadas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da Lei Federal nº 14.133, de 2021</w:t>
      </w:r>
      <w:r>
        <w:rPr>
          <w:rStyle w:val="54"/>
        </w:rPr>
        <w:fldChar w:fldCharType="end"/>
      </w:r>
      <w:r>
        <w:rPr>
          <w:color w:val="000000"/>
        </w:rPr>
        <w:t xml:space="preserve">, será responsabilizada administrativamente em uma ou mais das sanções previstas no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da Lei Federal nº 14.133, de 2021</w:t>
      </w:r>
      <w:r>
        <w:rPr>
          <w:rStyle w:val="54"/>
        </w:rPr>
        <w:fldChar w:fldCharType="end"/>
      </w:r>
      <w:r>
        <w:rPr>
          <w:color w:val="000000"/>
        </w:rPr>
        <w:t>, garantido o direito à ampla defesa e contraditório.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 </w:t>
      </w:r>
      <w:r>
        <w:rPr>
          <w:color w:val="000000" w:themeColor="text1"/>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Na aplicação das sanções serão considerados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 1º, da Lei Federal nº 14.133, de 2021</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color w:val="000000"/>
        </w:rPr>
      </w:pPr>
      <w:bookmarkStart w:id="50" w:name="art156§1i"/>
      <w:bookmarkEnd w:id="50"/>
      <w:r>
        <w:rPr>
          <w:color w:val="000000"/>
        </w:rPr>
        <w:t>a natureza e a gravidade da infração cometida;</w:t>
      </w:r>
    </w:p>
    <w:p>
      <w:pPr>
        <w:pStyle w:val="3"/>
        <w:numPr>
          <w:ilvl w:val="2"/>
          <w:numId w:val="1"/>
        </w:numPr>
        <w:tabs>
          <w:tab w:val="left" w:pos="1134"/>
        </w:tabs>
        <w:spacing w:before="0" w:beforeAutospacing="0" w:after="0" w:afterAutospacing="0"/>
        <w:jc w:val="both"/>
        <w:textAlignment w:val="baseline"/>
        <w:rPr>
          <w:color w:val="000000"/>
        </w:rPr>
      </w:pPr>
      <w:bookmarkStart w:id="51" w:name="art156§1ii"/>
      <w:bookmarkEnd w:id="51"/>
      <w:r>
        <w:rPr>
          <w:color w:val="000000"/>
        </w:rPr>
        <w:t>as peculiaridades do caso concreto;</w:t>
      </w:r>
    </w:p>
    <w:p>
      <w:pPr>
        <w:pStyle w:val="3"/>
        <w:numPr>
          <w:ilvl w:val="2"/>
          <w:numId w:val="1"/>
        </w:numPr>
        <w:tabs>
          <w:tab w:val="left" w:pos="1134"/>
        </w:tabs>
        <w:spacing w:before="0" w:beforeAutospacing="0" w:after="0" w:afterAutospacing="0"/>
        <w:jc w:val="both"/>
        <w:textAlignment w:val="baseline"/>
        <w:rPr>
          <w:color w:val="000000"/>
        </w:rPr>
      </w:pPr>
      <w:bookmarkStart w:id="52" w:name="art156§1iii"/>
      <w:bookmarkEnd w:id="52"/>
      <w:r>
        <w:rPr>
          <w:color w:val="000000"/>
        </w:rPr>
        <w:t>as circunstâncias agravantes ou atenuantes;</w:t>
      </w:r>
    </w:p>
    <w:p>
      <w:pPr>
        <w:pStyle w:val="3"/>
        <w:numPr>
          <w:ilvl w:val="2"/>
          <w:numId w:val="1"/>
        </w:numPr>
        <w:tabs>
          <w:tab w:val="left" w:pos="1134"/>
        </w:tabs>
        <w:spacing w:before="0" w:beforeAutospacing="0" w:after="0" w:afterAutospacing="0"/>
        <w:jc w:val="both"/>
        <w:textAlignment w:val="baseline"/>
        <w:rPr>
          <w:color w:val="000000"/>
        </w:rPr>
      </w:pPr>
      <w:bookmarkStart w:id="53" w:name="art156§1iv"/>
      <w:bookmarkEnd w:id="53"/>
      <w:r>
        <w:rPr>
          <w:color w:val="000000"/>
        </w:rPr>
        <w:t>os danos que dela provierem para a Administração Pública;</w:t>
      </w:r>
    </w:p>
    <w:p>
      <w:pPr>
        <w:pStyle w:val="3"/>
        <w:numPr>
          <w:ilvl w:val="2"/>
          <w:numId w:val="1"/>
        </w:numPr>
        <w:tabs>
          <w:tab w:val="left" w:pos="1134"/>
        </w:tabs>
        <w:spacing w:before="0" w:beforeAutospacing="0" w:after="0" w:afterAutospacing="0"/>
        <w:jc w:val="both"/>
        <w:textAlignment w:val="baseline"/>
        <w:rPr>
          <w:color w:val="000000"/>
        </w:rPr>
      </w:pPr>
      <w:bookmarkStart w:id="54" w:name="art156§1v"/>
      <w:bookmarkEnd w:id="54"/>
      <w:r>
        <w:rPr>
          <w:color w:val="000000"/>
        </w:rPr>
        <w:t>a implantação ou o aperfeiçoamento de programa de integridade, conforme normas e orientações dos órgãos de controle.</w:t>
      </w:r>
    </w:p>
    <w:p>
      <w:pPr>
        <w:pStyle w:val="3"/>
        <w:numPr>
          <w:ilvl w:val="1"/>
          <w:numId w:val="1"/>
        </w:numPr>
        <w:tabs>
          <w:tab w:val="left" w:pos="1134"/>
        </w:tabs>
        <w:spacing w:before="0" w:beforeAutospacing="0" w:after="0" w:afterAutospacing="0"/>
        <w:ind w:left="0" w:firstLine="567"/>
        <w:jc w:val="both"/>
        <w:textAlignment w:val="baseline"/>
        <w:rPr>
          <w:color w:val="000000"/>
        </w:rPr>
      </w:pPr>
      <w: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3"/>
        <w:numPr>
          <w:ilvl w:val="1"/>
          <w:numId w:val="1"/>
        </w:numPr>
        <w:tabs>
          <w:tab w:val="left" w:pos="1134"/>
        </w:tabs>
        <w:spacing w:before="0" w:beforeAutospacing="0" w:after="0" w:afterAutospacing="0"/>
        <w:ind w:left="0" w:firstLine="567"/>
        <w:jc w:val="both"/>
        <w:textAlignment w:val="baseline"/>
        <w:rPr>
          <w:color w:val="000000"/>
        </w:rPr>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4"/>
        </w:rPr>
        <w:t>Lei Federal nº 14.133, de 2021</w:t>
      </w:r>
      <w:r>
        <w:rPr>
          <w:rStyle w:val="54"/>
        </w:rPr>
        <w:fldChar w:fldCharType="end"/>
      </w:r>
      <w: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As sanções serão registradas e publicadas no Cadastro Nacional de Empresas Inidôneas e </w:t>
      </w:r>
      <w:r>
        <w:rPr>
          <w:color w:val="000000" w:themeColor="text1"/>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4"/>
        </w:rPr>
        <w:instrText xml:space="preserve"> HYPERLINK "https://www.planalto.gov.br/ccivil_03/_ato2019-2022/2021/lei/l14133.htm" \l "art161"</w:instrText>
      </w:r>
      <w:r>
        <w:rPr>
          <w:rStyle w:val="54"/>
        </w:rPr>
        <w:fldChar w:fldCharType="separate"/>
      </w:r>
      <w:r>
        <w:rPr>
          <w:rStyle w:val="54"/>
        </w:rPr>
        <w:t>art. 161 da Lei Federal nº 14.133, de 2021</w:t>
      </w:r>
      <w:r>
        <w:rPr>
          <w:rStyle w:val="54"/>
        </w:rPr>
        <w:fldChar w:fldCharType="end"/>
      </w:r>
      <w:r>
        <w:rPr>
          <w:color w:val="000000"/>
        </w:rPr>
        <w:t>.</w:t>
      </w:r>
    </w:p>
    <w:p>
      <w:pPr>
        <w:pStyle w:val="2"/>
        <w:spacing w:before="360" w:after="0"/>
        <w:rPr>
          <w:rStyle w:val="45"/>
          <w:b w:val="0"/>
          <w:bCs w:val="0"/>
        </w:rPr>
      </w:pPr>
      <w:bookmarkStart w:id="55" w:name="_Toc149517462"/>
      <w:r>
        <w:rPr>
          <w:rStyle w:val="45"/>
        </w:rPr>
        <w:t>PROTEÇÃO DOS DADOS NA LICITAÇÃO</w:t>
      </w:r>
      <w:bookmarkEnd w:id="55"/>
    </w:p>
    <w:p>
      <w:pPr>
        <w:pStyle w:val="3"/>
        <w:numPr>
          <w:ilvl w:val="1"/>
          <w:numId w:val="1"/>
        </w:numPr>
        <w:tabs>
          <w:tab w:val="left" w:pos="1134"/>
        </w:tabs>
        <w:spacing w:before="120" w:beforeAutospacing="0" w:after="0" w:afterAutospacing="0"/>
        <w:ind w:left="0" w:firstLine="567"/>
        <w:jc w:val="both"/>
        <w:textAlignment w:val="baseline"/>
        <w:rPr>
          <w:rStyle w:val="45"/>
          <w:color w:val="000000" w:themeColor="text1"/>
        </w:rPr>
      </w:pPr>
      <w:r>
        <w:rPr>
          <w:rStyle w:val="45"/>
          <w:color w:val="000000" w:themeColor="text1"/>
        </w:rPr>
        <w:t xml:space="preserve">Ao participar da presente licitação, e em atenção ao que dispõe o </w:t>
      </w:r>
      <w:r>
        <w:fldChar w:fldCharType="begin"/>
      </w:r>
      <w:r>
        <w:rPr>
          <w:rStyle w:val="54"/>
        </w:rPr>
        <w:instrText xml:space="preserve"> HYPERLINK "https://www.planalto.gov.br/ccivil_03/_ato2015-2018/2018/lei/l13709.htm" \l "art7"</w:instrText>
      </w:r>
      <w:r>
        <w:rPr>
          <w:rStyle w:val="54"/>
        </w:rPr>
        <w:fldChar w:fldCharType="separate"/>
      </w:r>
      <w:r>
        <w:rPr>
          <w:rStyle w:val="54"/>
        </w:rPr>
        <w:t>art. 7º, I, da Lei Federal nº 13.709, de 2018</w:t>
      </w:r>
      <w:r>
        <w:rPr>
          <w:rStyle w:val="54"/>
        </w:rPr>
        <w:fldChar w:fldCharType="end"/>
      </w:r>
      <w:r>
        <w:rPr>
          <w:rStyle w:val="45"/>
          <w:color w:val="000000" w:themeColor="text1"/>
        </w:rPr>
        <w:t xml:space="preserve"> (Lei Geral de Proteção de Dados - LGPD), as licitantes ficam cientes e fornecem consentimento para que a </w:t>
      </w:r>
      <w:r>
        <w:rPr>
          <w:color w:val="000000"/>
        </w:rPr>
        <w:t>Câmara Municipal de Primavera do Leste - MT</w:t>
      </w:r>
      <w:r>
        <w:rPr>
          <w:rStyle w:val="45"/>
          <w:color w:val="000000" w:themeColor="text1"/>
        </w:rPr>
        <w:t xml:space="preserve">, com base no previsto no </w:t>
      </w:r>
      <w:r>
        <w:fldChar w:fldCharType="begin"/>
      </w:r>
      <w:r>
        <w:rPr>
          <w:rStyle w:val="54"/>
        </w:rPr>
        <w:instrText xml:space="preserve"> HYPERLINK "https://www.planalto.gov.br/ccivil_03/_ato2015-2018/2018/lei/l13709.htm" \l "art7"</w:instrText>
      </w:r>
      <w:r>
        <w:rPr>
          <w:rStyle w:val="54"/>
        </w:rPr>
        <w:fldChar w:fldCharType="separate"/>
      </w:r>
      <w:r>
        <w:rPr>
          <w:rStyle w:val="54"/>
        </w:rPr>
        <w:t>art. 7º, II e III</w:t>
      </w:r>
      <w:r>
        <w:rPr>
          <w:rStyle w:val="54"/>
        </w:rPr>
        <w:fldChar w:fldCharType="end"/>
      </w:r>
      <w:r>
        <w:rPr>
          <w:rStyle w:val="45"/>
          <w:color w:val="000000" w:themeColor="text1"/>
        </w:rPr>
        <w:t xml:space="preserve">, c/c o </w:t>
      </w:r>
      <w:r>
        <w:fldChar w:fldCharType="begin"/>
      </w:r>
      <w:r>
        <w:rPr>
          <w:rStyle w:val="54"/>
        </w:rPr>
        <w:instrText xml:space="preserve"> HYPERLINK "https://www.planalto.gov.br/ccivil_03/_ato2015-2018/2018/lei/l13709.htm" \l "art23"</w:instrText>
      </w:r>
      <w:r>
        <w:rPr>
          <w:rStyle w:val="54"/>
        </w:rPr>
        <w:fldChar w:fldCharType="separate"/>
      </w:r>
      <w:r>
        <w:rPr>
          <w:rStyle w:val="54"/>
        </w:rPr>
        <w:t>art. 23 Lei Federal nº 13.709, de 2018</w:t>
      </w:r>
      <w:r>
        <w:rPr>
          <w:rStyle w:val="54"/>
        </w:rPr>
        <w:fldChar w:fldCharType="end"/>
      </w:r>
      <w:r>
        <w:rPr>
          <w:rStyle w:val="45"/>
          <w:color w:val="000000" w:themeColor="text1"/>
        </w:rPr>
        <w:t xml:space="preserve">, irá realizar o </w:t>
      </w:r>
      <w:r>
        <w:t>tratamento</w:t>
      </w:r>
      <w:r>
        <w:rPr>
          <w:rStyle w:val="45"/>
          <w:color w:val="000000" w:themeColor="text1"/>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rStyle w:val="54"/>
        </w:rPr>
        <w:instrText xml:space="preserve"> HYPERLINK "https://www.planalto.gov.br/ccivil_03/_ato2015-2018/2018/lei/l13709.htm" \l "art6"</w:instrText>
      </w:r>
      <w:r>
        <w:rPr>
          <w:rStyle w:val="54"/>
        </w:rPr>
        <w:fldChar w:fldCharType="separate"/>
      </w:r>
      <w:r>
        <w:rPr>
          <w:rStyle w:val="54"/>
        </w:rPr>
        <w:t>art. 6º da Lei Federal nº 13.709, de 2018</w:t>
      </w:r>
      <w:r>
        <w:rPr>
          <w:rStyle w:val="54"/>
        </w:rPr>
        <w:fldChar w:fldCharType="end"/>
      </w:r>
      <w:r>
        <w:rPr>
          <w:rStyle w:val="45"/>
          <w:color w:val="000000" w:themeColor="text1"/>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rStyle w:val="54"/>
        </w:rPr>
        <w:instrText xml:space="preserve"> HYPERLINK "https://www.planalto.gov.br/ccivil_03/_ato2015-2018/2018/lei/l13709.htm" \l "art16"</w:instrText>
      </w:r>
      <w:r>
        <w:rPr>
          <w:rStyle w:val="54"/>
        </w:rPr>
        <w:fldChar w:fldCharType="separate"/>
      </w:r>
      <w:r>
        <w:rPr>
          <w:rStyle w:val="54"/>
        </w:rPr>
        <w:t>art. 16, inciso I da Lei Federal nº 13.709, de 2018</w:t>
      </w:r>
      <w:r>
        <w:rPr>
          <w:rStyle w:val="54"/>
        </w:rPr>
        <w:fldChar w:fldCharType="end"/>
      </w:r>
      <w:r>
        <w:rPr>
          <w:rStyle w:val="45"/>
          <w:color w:val="000000" w:themeColor="text1"/>
        </w:rPr>
        <w:t xml:space="preserve">. </w:t>
      </w:r>
    </w:p>
    <w:p>
      <w:pPr>
        <w:pStyle w:val="3"/>
        <w:numPr>
          <w:ilvl w:val="1"/>
          <w:numId w:val="1"/>
        </w:numPr>
        <w:tabs>
          <w:tab w:val="left" w:pos="1134"/>
        </w:tabs>
        <w:spacing w:before="0" w:beforeAutospacing="0" w:after="0" w:afterAutospacing="0"/>
        <w:ind w:left="0" w:firstLine="567"/>
        <w:jc w:val="both"/>
        <w:textAlignment w:val="baseline"/>
        <w:rPr>
          <w:rStyle w:val="45"/>
          <w:color w:val="000000" w:themeColor="text1"/>
        </w:rPr>
      </w:pPr>
      <w:r>
        <w:rPr>
          <w:rStyle w:val="45"/>
          <w:color w:val="000000" w:themeColor="text1"/>
        </w:rPr>
        <w:t xml:space="preserve">A(s) licitante(s) </w:t>
      </w:r>
      <w:r>
        <w:t xml:space="preserve">e a </w:t>
      </w:r>
      <w:r>
        <w:rPr>
          <w:color w:val="000000"/>
        </w:rPr>
        <w:t>Câmara Municipal de Primavera do Leste - MT</w:t>
      </w:r>
      <w:r>
        <w:t xml:space="preserve"> </w:t>
      </w:r>
      <w:r>
        <w:rPr>
          <w:rStyle w:val="45"/>
          <w:color w:val="000000" w:themeColor="text1"/>
        </w:rPr>
        <w:t xml:space="preserve">obrigam-se a cumprir o disposto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rStyle w:val="45"/>
          <w:color w:val="000000" w:themeColor="text1"/>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3"/>
        <w:numPr>
          <w:ilvl w:val="1"/>
          <w:numId w:val="1"/>
        </w:numPr>
        <w:tabs>
          <w:tab w:val="left" w:pos="1134"/>
        </w:tabs>
        <w:spacing w:before="0" w:beforeAutospacing="0" w:after="0" w:afterAutospacing="0"/>
        <w:ind w:left="0" w:firstLine="567"/>
        <w:jc w:val="both"/>
        <w:textAlignment w:val="baseline"/>
        <w:rPr>
          <w:rStyle w:val="45"/>
          <w:color w:val="000000" w:themeColor="text1"/>
        </w:rPr>
      </w:pPr>
      <w:r>
        <w:rPr>
          <w:rStyle w:val="45"/>
          <w:color w:val="000000" w:themeColor="text1"/>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rStyle w:val="54"/>
        </w:rPr>
        <w:instrText xml:space="preserve"> HYPERLINK "https://www.planalto.gov.br/ccivil_03/_ato2015-2018/2018/lei/l13709.htm" \l "art48"</w:instrText>
      </w:r>
      <w:r>
        <w:rPr>
          <w:rStyle w:val="54"/>
        </w:rPr>
        <w:fldChar w:fldCharType="separate"/>
      </w:r>
      <w:r>
        <w:rPr>
          <w:rStyle w:val="54"/>
        </w:rPr>
        <w:t>art. 48 da Lei Federal nº 13.709, de 2018</w:t>
      </w:r>
      <w:r>
        <w:rPr>
          <w:rStyle w:val="54"/>
        </w:rPr>
        <w:fldChar w:fldCharType="end"/>
      </w:r>
      <w:r>
        <w:rPr>
          <w:rStyle w:val="45"/>
          <w:color w:val="000000" w:themeColor="text1"/>
        </w:rPr>
        <w:t>.</w:t>
      </w:r>
    </w:p>
    <w:p>
      <w:pPr>
        <w:pStyle w:val="3"/>
        <w:numPr>
          <w:ilvl w:val="1"/>
          <w:numId w:val="1"/>
        </w:numPr>
        <w:tabs>
          <w:tab w:val="left" w:pos="1134"/>
        </w:tabs>
        <w:spacing w:before="0" w:beforeAutospacing="0" w:after="0" w:afterAutospacing="0"/>
        <w:ind w:left="0" w:firstLine="567"/>
        <w:jc w:val="both"/>
        <w:textAlignment w:val="baseline"/>
        <w:rPr>
          <w:rStyle w:val="45"/>
          <w:color w:val="000000" w:themeColor="text1"/>
        </w:rPr>
      </w:pPr>
      <w:r>
        <w:rPr>
          <w:rStyle w:val="45"/>
          <w:color w:val="000000" w:themeColor="text1"/>
        </w:rPr>
        <w:t xml:space="preserve">Para a execução do objeto, em observância ao disposto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rStyle w:val="45"/>
          <w:color w:val="000000" w:themeColor="text1"/>
        </w:rPr>
        <w:t xml:space="preserve"> (LGPD), na </w:t>
      </w:r>
      <w:r>
        <w:fldChar w:fldCharType="begin"/>
      </w:r>
      <w:r>
        <w:instrText xml:space="preserve"> HYPERLINK "https://www.planalto.gov.br/ccivil_03/leis/lcp/lcp101.htm" \h </w:instrText>
      </w:r>
      <w:r>
        <w:fldChar w:fldCharType="separate"/>
      </w:r>
      <w:r>
        <w:rPr>
          <w:rStyle w:val="54"/>
        </w:rPr>
        <w:t>Lei Complementar Federal nº 101, de 2000</w:t>
      </w:r>
      <w:r>
        <w:rPr>
          <w:rStyle w:val="54"/>
        </w:rPr>
        <w:fldChar w:fldCharType="end"/>
      </w:r>
      <w:r>
        <w:rPr>
          <w:rStyle w:val="45"/>
          <w:color w:val="000000" w:themeColor="text1"/>
        </w:rPr>
        <w:t xml:space="preserve"> (Lei de Responsabilidade Fiscal) e na </w:t>
      </w:r>
      <w:r>
        <w:fldChar w:fldCharType="begin"/>
      </w:r>
      <w:r>
        <w:instrText xml:space="preserve"> HYPERLINK "https://www.planalto.gov.br/ccivil_03/_ato2011-2014/2011/lei/l12527.htm" \h </w:instrText>
      </w:r>
      <w:r>
        <w:fldChar w:fldCharType="separate"/>
      </w:r>
      <w:r>
        <w:rPr>
          <w:rStyle w:val="54"/>
        </w:rPr>
        <w:t>Lei Federal nº 12.527, de 2011</w:t>
      </w:r>
      <w:r>
        <w:rPr>
          <w:rStyle w:val="54"/>
        </w:rPr>
        <w:fldChar w:fldCharType="end"/>
      </w:r>
      <w:r>
        <w:rPr>
          <w:rStyle w:val="45"/>
          <w:color w:val="000000" w:themeColor="text1"/>
        </w:rPr>
        <w:t xml:space="preserve"> (Lei de Acesso à Informação) e ao princípio da transparência, a(s) Licitante(s) e seus representantes ficam cientes do acesso pela </w:t>
      </w:r>
      <w:r>
        <w:rPr>
          <w:color w:val="000000"/>
        </w:rPr>
        <w:t>Câmara Municipal de Primavera do Leste - MT</w:t>
      </w:r>
      <w:r>
        <w:rPr>
          <w:rStyle w:val="45"/>
          <w:color w:val="000000" w:themeColor="text1"/>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rPr>
          <w:rStyle w:val="45"/>
          <w:b w:val="0"/>
          <w:bCs w:val="0"/>
        </w:rPr>
      </w:pPr>
      <w:bookmarkStart w:id="56" w:name="_Toc149517463"/>
      <w:bookmarkStart w:id="57" w:name="_Toc144196074"/>
      <w:r>
        <w:rPr>
          <w:rStyle w:val="45"/>
        </w:rPr>
        <w:t>CRÉDITOS ORÇAMENTÁRIOS </w:t>
      </w:r>
      <w:bookmarkEnd w:id="56"/>
      <w:bookmarkEnd w:id="57"/>
      <w:r>
        <w:rPr>
          <w:rStyle w:val="45"/>
        </w:rPr>
        <w:t> </w:t>
      </w:r>
    </w:p>
    <w:p>
      <w:pPr>
        <w:widowControl/>
        <w:suppressAutoHyphens/>
        <w:bidi w:val="0"/>
        <w:spacing w:before="0" w:after="120" w:line="276" w:lineRule="auto"/>
        <w:ind w:left="0" w:right="0" w:firstLine="567"/>
        <w:jc w:val="both"/>
        <w:rPr>
          <w:rFonts w:ascii="Times New Roman" w:hAnsi="Times New Roman"/>
          <w:sz w:val="24"/>
          <w:szCs w:val="24"/>
        </w:rPr>
      </w:pPr>
      <w:r>
        <w:rPr>
          <w:rFonts w:ascii="Times New Roman" w:hAnsi="Times New Roman" w:cs="Arial"/>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9"/>
        <w:tblW w:w="8938" w:type="dxa"/>
        <w:tblInd w:w="40" w:type="dxa"/>
        <w:tblLayout w:type="fixed"/>
        <w:tblCellMar>
          <w:top w:w="55" w:type="dxa"/>
          <w:left w:w="55" w:type="dxa"/>
          <w:bottom w:w="55" w:type="dxa"/>
          <w:right w:w="55" w:type="dxa"/>
        </w:tblCellMar>
      </w:tblPr>
      <w:tblGrid>
        <w:gridCol w:w="2127"/>
        <w:gridCol w:w="2616"/>
        <w:gridCol w:w="4195"/>
      </w:tblGrid>
      <w:tr>
        <w:tblPrEx>
          <w:tblCellMar>
            <w:top w:w="55" w:type="dxa"/>
            <w:left w:w="55" w:type="dxa"/>
            <w:bottom w:w="55" w:type="dxa"/>
            <w:right w:w="55" w:type="dxa"/>
          </w:tblCellMar>
        </w:tblPrEx>
        <w:trPr>
          <w:trHeight w:val="90" w:hRule="atLeast"/>
        </w:trPr>
        <w:tc>
          <w:tcPr>
            <w:tcW w:w="2127" w:type="dxa"/>
            <w:tcBorders>
              <w:top w:val="single" w:color="000000" w:sz="2" w:space="0"/>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b/>
                <w:bCs/>
                <w:sz w:val="18"/>
                <w:szCs w:val="18"/>
                <w:shd w:val="clear" w:fill="auto"/>
              </w:rPr>
            </w:pPr>
            <w:r>
              <w:rPr>
                <w:rFonts w:ascii="Times New Roman" w:hAnsi="Times New Roman" w:eastAsia="Calibri" w:cs="Times New Roman"/>
                <w:b/>
                <w:bCs/>
                <w:kern w:val="0"/>
                <w:sz w:val="18"/>
                <w:szCs w:val="18"/>
                <w:shd w:val="clear" w:fill="auto"/>
                <w:lang w:val="pt-BR" w:eastAsia="zh-CN" w:bidi="hi-IN"/>
              </w:rPr>
              <w:t>Órgão</w:t>
            </w:r>
          </w:p>
        </w:tc>
        <w:tc>
          <w:tcPr>
            <w:tcW w:w="2616" w:type="dxa"/>
            <w:tcBorders>
              <w:top w:val="single" w:color="000000" w:sz="2" w:space="0"/>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w:t>
            </w:r>
          </w:p>
        </w:tc>
        <w:tc>
          <w:tcPr>
            <w:tcW w:w="4195" w:type="dxa"/>
            <w:tcBorders>
              <w:top w:val="single" w:color="000000" w:sz="2" w:space="0"/>
              <w:left w:val="single" w:color="000000" w:sz="2" w:space="0"/>
              <w:bottom w:val="single" w:color="000000" w:sz="2" w:space="0"/>
              <w:right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CÂMARA MUNICIPAL</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b/>
                <w:bCs/>
                <w:sz w:val="18"/>
                <w:szCs w:val="18"/>
                <w:shd w:val="clear" w:fill="auto"/>
              </w:rPr>
            </w:pPr>
            <w:r>
              <w:rPr>
                <w:rFonts w:ascii="Times New Roman" w:hAnsi="Times New Roman" w:eastAsia="Calibri" w:cs="Times New Roman"/>
                <w:b/>
                <w:bCs/>
                <w:kern w:val="0"/>
                <w:sz w:val="18"/>
                <w:szCs w:val="18"/>
                <w:shd w:val="clear" w:fill="auto"/>
                <w:lang w:val="pt-BR" w:eastAsia="zh-CN" w:bidi="hi-IN"/>
              </w:rPr>
              <w:t>Unid Orçamentária</w:t>
            </w:r>
          </w:p>
        </w:tc>
        <w:tc>
          <w:tcPr>
            <w:tcW w:w="2616"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01.00.1</w:t>
            </w:r>
          </w:p>
        </w:tc>
        <w:tc>
          <w:tcPr>
            <w:tcW w:w="4195" w:type="dxa"/>
            <w:tcBorders>
              <w:left w:val="single" w:color="000000" w:sz="2" w:space="0"/>
              <w:bottom w:val="single" w:color="000000" w:sz="2" w:space="0"/>
              <w:right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b/>
                <w:bCs/>
                <w:sz w:val="18"/>
                <w:szCs w:val="18"/>
                <w:shd w:val="clear" w:fill="auto"/>
              </w:rPr>
            </w:pPr>
            <w:r>
              <w:rPr>
                <w:rFonts w:ascii="Times New Roman" w:hAnsi="Times New Roman" w:eastAsia="Calibri" w:cs="Times New Roman"/>
                <w:b/>
                <w:bCs/>
                <w:kern w:val="0"/>
                <w:sz w:val="18"/>
                <w:szCs w:val="18"/>
                <w:shd w:val="clear" w:fill="auto"/>
                <w:lang w:val="pt-BR" w:eastAsia="zh-CN" w:bidi="hi-IN"/>
              </w:rPr>
              <w:t>Unidade Executora</w:t>
            </w:r>
          </w:p>
        </w:tc>
        <w:tc>
          <w:tcPr>
            <w:tcW w:w="2616"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01.001</w:t>
            </w:r>
          </w:p>
        </w:tc>
        <w:tc>
          <w:tcPr>
            <w:tcW w:w="4195" w:type="dxa"/>
            <w:tcBorders>
              <w:left w:val="single" w:color="000000" w:sz="2" w:space="0"/>
              <w:bottom w:val="single" w:color="000000" w:sz="2" w:space="0"/>
              <w:right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b/>
                <w:bCs/>
                <w:sz w:val="18"/>
                <w:szCs w:val="18"/>
                <w:shd w:val="clear" w:fill="auto"/>
              </w:rPr>
            </w:pPr>
            <w:r>
              <w:rPr>
                <w:rFonts w:ascii="Times New Roman" w:hAnsi="Times New Roman" w:eastAsia="Calibri" w:cs="Times New Roman"/>
                <w:b/>
                <w:bCs/>
                <w:kern w:val="0"/>
                <w:sz w:val="18"/>
                <w:szCs w:val="18"/>
                <w:shd w:val="clear" w:fill="auto"/>
                <w:lang w:val="pt-BR" w:eastAsia="zh-CN" w:bidi="hi-IN"/>
              </w:rPr>
              <w:t>Função programática</w:t>
            </w:r>
          </w:p>
        </w:tc>
        <w:tc>
          <w:tcPr>
            <w:tcW w:w="2616"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01.031.0001-2.001</w:t>
            </w:r>
          </w:p>
        </w:tc>
        <w:tc>
          <w:tcPr>
            <w:tcW w:w="4195" w:type="dxa"/>
            <w:tcBorders>
              <w:left w:val="single" w:color="000000" w:sz="2" w:space="0"/>
              <w:bottom w:val="single" w:color="000000" w:sz="2" w:space="0"/>
              <w:right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MANUTENÇÃO DEPARTAMENTO ADMINISTRATIVO DA CÂMARA MUNICIPAL</w:t>
            </w:r>
          </w:p>
        </w:tc>
      </w:tr>
      <w:tr>
        <w:tblPrEx>
          <w:tblCellMar>
            <w:top w:w="55" w:type="dxa"/>
            <w:left w:w="55" w:type="dxa"/>
            <w:bottom w:w="55" w:type="dxa"/>
            <w:right w:w="55" w:type="dxa"/>
          </w:tblCellMar>
        </w:tblPrEx>
        <w:trPr>
          <w:trHeight w:val="90" w:hRule="atLeast"/>
        </w:trPr>
        <w:tc>
          <w:tcPr>
            <w:tcW w:w="2127"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b/>
                <w:bCs/>
                <w:sz w:val="18"/>
                <w:szCs w:val="18"/>
                <w:shd w:val="clear" w:fill="auto"/>
              </w:rPr>
            </w:pPr>
            <w:r>
              <w:rPr>
                <w:rFonts w:ascii="Times New Roman" w:hAnsi="Times New Roman" w:eastAsia="Calibri" w:cs="Times New Roman"/>
                <w:b/>
                <w:bCs/>
                <w:kern w:val="0"/>
                <w:sz w:val="18"/>
                <w:szCs w:val="18"/>
                <w:shd w:val="clear" w:fill="auto"/>
                <w:lang w:val="pt-BR" w:eastAsia="zh-CN" w:bidi="hi-IN"/>
              </w:rPr>
              <w:t>Elemento</w:t>
            </w:r>
          </w:p>
        </w:tc>
        <w:tc>
          <w:tcPr>
            <w:tcW w:w="2616" w:type="dxa"/>
            <w:tcBorders>
              <w:left w:val="single" w:color="000000" w:sz="2" w:space="0"/>
              <w:bottom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3.3.90.39.00</w:t>
            </w:r>
          </w:p>
        </w:tc>
        <w:tc>
          <w:tcPr>
            <w:tcW w:w="4195" w:type="dxa"/>
            <w:tcBorders>
              <w:left w:val="single" w:color="000000" w:sz="2" w:space="0"/>
              <w:bottom w:val="single" w:color="000000" w:sz="2" w:space="0"/>
              <w:right w:val="single" w:color="000000" w:sz="2" w:space="0"/>
            </w:tcBorders>
            <w:vAlign w:val="center"/>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SERVIÇOS DE TERCEIROS – PESSOA JURÍDICA</w:t>
            </w:r>
          </w:p>
        </w:tc>
      </w:tr>
    </w:tbl>
    <w:p>
      <w:pPr>
        <w:pStyle w:val="3"/>
        <w:numPr>
          <w:ilvl w:val="1"/>
          <w:numId w:val="1"/>
        </w:numPr>
        <w:tabs>
          <w:tab w:val="left" w:pos="1134"/>
        </w:tabs>
        <w:spacing w:before="120" w:beforeAutospacing="0" w:after="0" w:afterAutospacing="0"/>
        <w:ind w:left="0" w:firstLine="567"/>
        <w:jc w:val="both"/>
        <w:textAlignment w:val="baseline"/>
      </w:pPr>
      <w:r>
        <w:rPr>
          <w:color w:val="000000"/>
        </w:rPr>
        <w:t xml:space="preserve">Em </w:t>
      </w:r>
      <w:r>
        <w:rPr>
          <w:rStyle w:val="45"/>
          <w:color w:val="000000" w:themeColor="text1"/>
        </w:rPr>
        <w:t>caso</w:t>
      </w:r>
      <w:r>
        <w:rPr>
          <w:color w:val="000000"/>
        </w:rPr>
        <w:t xml:space="preserve"> de </w:t>
      </w:r>
      <w:r>
        <w:rPr>
          <w:rStyle w:val="45"/>
          <w:color w:val="000000" w:themeColor="text1"/>
        </w:rPr>
        <w:t>divergência</w:t>
      </w:r>
      <w:r>
        <w:rPr>
          <w:color w:val="000000"/>
        </w:rPr>
        <w:t xml:space="preserve"> existente entre as especificações descritas no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 e as especificações constantes deste Edital, prevalecerão as últimas.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Todas </w:t>
      </w:r>
      <w:r>
        <w:rPr>
          <w:rStyle w:val="45"/>
          <w:color w:val="000000" w:themeColor="text1"/>
        </w:rPr>
        <w:t>as</w:t>
      </w:r>
      <w:r>
        <w:rPr>
          <w:color w:val="000000"/>
        </w:rPr>
        <w:t xml:space="preserve"> referências de tempo no Edital, no aviso e durante a sessão pública observarão o horário de </w:t>
      </w:r>
      <w:r>
        <w:rPr>
          <w:rStyle w:val="45"/>
          <w:color w:val="000000" w:themeColor="text1"/>
        </w:rPr>
        <w:t>Brasília</w:t>
      </w:r>
      <w:r>
        <w:rPr>
          <w:color w:val="000000"/>
        </w:rPr>
        <w:t xml:space="preserve"> / DF.</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O </w:t>
      </w:r>
      <w:r>
        <w:rPr>
          <w:rStyle w:val="45"/>
          <w:color w:val="000000" w:themeColor="text1"/>
        </w:rPr>
        <w:t>licitante</w:t>
      </w:r>
      <w:r>
        <w:rPr>
          <w:color w:val="000000"/>
        </w:rPr>
        <w:t xml:space="preserve"> será responsável por todas as transações que forem efetuadas em seu nome no sistema eletrônico, assumindo como firmes e verdadeiras suas propostas e lances.</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Incumbirá ao licitante acompanhar as operações no sistema eletrônico durante a sessão pública deste </w:t>
      </w:r>
      <w:r>
        <w:rPr>
          <w:rStyle w:val="45"/>
          <w:color w:val="000000" w:themeColor="text1"/>
        </w:rPr>
        <w:t>Pregão</w:t>
      </w:r>
      <w:r>
        <w:rPr>
          <w:color w:val="000000"/>
        </w:rPr>
        <w:t>, ficando responsável pelo ônus decorrente da perda de negócios, diante da inobservância de quaisquer mensagens emitidas pelo sistema ou de sua desconexão.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No julgamento das propostas e da habilitação, o(a) </w:t>
      </w:r>
      <w: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É facultado ao(à) </w:t>
      </w:r>
      <w: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A homologação do resultado desta licitação não implicará direito à contratação.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Será divulgada ata da sessão pública no </w:t>
      </w:r>
      <w:r>
        <w:t>Portal Licitanet (</w:t>
      </w:r>
      <w:r>
        <w:fldChar w:fldCharType="begin"/>
      </w:r>
      <w:r>
        <w:instrText xml:space="preserve"> HYPERLINK "https://www.licitanet.com.br/" \h </w:instrText>
      </w:r>
      <w:r>
        <w:fldChar w:fldCharType="separate"/>
      </w:r>
      <w:r>
        <w:rPr>
          <w:rStyle w:val="54"/>
        </w:rPr>
        <w:t>https://www.licitanet.com.br/</w:t>
      </w:r>
      <w:r>
        <w:rPr>
          <w:rStyle w:val="54"/>
        </w:rPr>
        <w:fldChar w:fldCharType="end"/>
      </w:r>
      <w:r>
        <w:rPr>
          <w:color w:val="000000"/>
        </w:rPr>
        <w:t>).</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Os interessados/licitantes obrigam-se ao acompanhamento das informações disponibilizadas, não podendo alegar seu desconhecimento.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Na contagem dos prazos estabelecidos neste Edital e seus Anexos, excluir-se-á o dia do início e incluir-se-á o do vencimento. Só se iniciam e vencem os prazos em dias de expediente na Administração.</w:t>
      </w:r>
    </w:p>
    <w:p>
      <w:pPr>
        <w:pStyle w:val="3"/>
        <w:numPr>
          <w:ilvl w:val="1"/>
          <w:numId w:val="1"/>
        </w:numPr>
        <w:tabs>
          <w:tab w:val="left" w:pos="1134"/>
        </w:tabs>
        <w:spacing w:before="0" w:beforeAutospacing="0" w:after="0" w:afterAutospacing="0"/>
        <w:ind w:left="0" w:firstLine="567"/>
        <w:jc w:val="both"/>
        <w:textAlignment w:val="baseline"/>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Nenhuma </w:t>
      </w:r>
      <w:r>
        <w:rPr>
          <w:rStyle w:val="45"/>
          <w:color w:val="000000" w:themeColor="text1"/>
        </w:rPr>
        <w:t>indenização</w:t>
      </w:r>
      <w:r>
        <w:rPr>
          <w:color w:val="000000"/>
        </w:rPr>
        <w:t xml:space="preserve"> será devida às licitantes por apresentarem documentação e/ou elaborarem proposta relativa ao presente </w:t>
      </w:r>
      <w:r>
        <w:rPr>
          <w:rStyle w:val="45"/>
          <w:color w:val="000000" w:themeColor="text1"/>
        </w:rPr>
        <w:t>Pregão</w:t>
      </w:r>
      <w:r>
        <w:rPr>
          <w:color w:val="000000"/>
        </w:rPr>
        <w:t>.</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não se responsabilizará por eventuais danos </w:t>
      </w:r>
      <w:r>
        <w:rPr>
          <w:rStyle w:val="45"/>
          <w:color w:val="000000" w:themeColor="text1"/>
        </w:rPr>
        <w:t>causados</w:t>
      </w:r>
      <w:r>
        <w:rPr>
          <w:color w:val="000000"/>
        </w:rPr>
        <w:t xml:space="preserve"> à licitante, decorrentes do uso indevido da senha durante as transações efetuadas, ainda que por terceiros.</w:t>
      </w:r>
    </w:p>
    <w:p>
      <w:pPr>
        <w:pStyle w:val="3"/>
        <w:numPr>
          <w:ilvl w:val="1"/>
          <w:numId w:val="1"/>
        </w:numPr>
        <w:tabs>
          <w:tab w:val="left" w:pos="1134"/>
        </w:tabs>
        <w:spacing w:before="0" w:beforeAutospacing="0" w:after="0" w:afterAutospacing="0"/>
        <w:ind w:left="0" w:firstLine="567"/>
        <w:jc w:val="both"/>
        <w:textAlignment w:val="baseline"/>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3"/>
        <w:numPr>
          <w:ilvl w:val="1"/>
          <w:numId w:val="1"/>
        </w:numPr>
        <w:tabs>
          <w:tab w:val="left" w:pos="1134"/>
        </w:tabs>
        <w:spacing w:before="0" w:beforeAutospacing="0" w:after="0" w:afterAutospacing="0"/>
        <w:ind w:left="0" w:firstLine="567"/>
        <w:jc w:val="both"/>
        <w:textAlignment w:val="baseline"/>
      </w:pPr>
      <w:r>
        <w:rPr>
          <w:color w:val="000000"/>
        </w:rPr>
        <w:t>Se traduzido para a língua portuguesa no exterior, a tradução deverá ter sido efetuada por profissional qualificado, segundo as leis do país de origem e os documentos autenticados pela via consular.</w:t>
      </w:r>
    </w:p>
    <w:p>
      <w:pPr>
        <w:pStyle w:val="3"/>
        <w:numPr>
          <w:ilvl w:val="1"/>
          <w:numId w:val="1"/>
        </w:numPr>
        <w:tabs>
          <w:tab w:val="left" w:pos="1134"/>
        </w:tabs>
        <w:spacing w:before="0" w:beforeAutospacing="0" w:after="0" w:afterAutospacing="0"/>
        <w:ind w:left="0" w:firstLine="567"/>
        <w:jc w:val="both"/>
        <w:textAlignment w:val="baseline"/>
      </w:pPr>
      <w:r>
        <w:rPr>
          <w:color w:val="000000"/>
        </w:rPr>
        <w:t xml:space="preserve">O horário de atendimento presencial do protocolo administrativo da Câmara Municipal de Primavera do Leste - MT é das </w:t>
      </w:r>
      <w:r>
        <w:rPr>
          <w:color w:val="000000"/>
          <w:shd w:val="clear" w:fill="auto"/>
        </w:rPr>
        <w:t xml:space="preserve">07h00 </w:t>
      </w:r>
      <w:r>
        <w:rPr>
          <w:color w:val="000000"/>
        </w:rPr>
        <w:t>às 13h00 , de segunda a sexta-feira, no horário oficial de Mato Grosso (GMT -04:00).</w:t>
      </w:r>
    </w:p>
    <w:p>
      <w:pPr>
        <w:pStyle w:val="2"/>
        <w:spacing w:before="360" w:after="0"/>
      </w:pPr>
      <w:bookmarkStart w:id="58" w:name="_Toc149517465"/>
      <w:r>
        <w:rPr>
          <w:rStyle w:val="45"/>
        </w:rPr>
        <w:t>FORO</w:t>
      </w:r>
      <w:bookmarkEnd w:id="58"/>
    </w:p>
    <w:p>
      <w:pPr>
        <w:pStyle w:val="3"/>
        <w:numPr>
          <w:ilvl w:val="1"/>
          <w:numId w:val="1"/>
        </w:numPr>
        <w:tabs>
          <w:tab w:val="left" w:pos="1134"/>
        </w:tabs>
        <w:spacing w:before="120" w:beforeAutospacing="0" w:after="120" w:afterAutospacing="0"/>
        <w:ind w:left="0" w:firstLine="567"/>
        <w:jc w:val="both"/>
        <w:textAlignment w:val="baseline"/>
      </w:pPr>
      <w: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71"/>
        <w:keepNext w:val="0"/>
        <w:keepLines w:val="0"/>
        <w:pageBreakBefore w:val="0"/>
        <w:widowControl/>
        <w:overflowPunct w:val="0"/>
        <w:bidi w:val="0"/>
        <w:snapToGrid/>
        <w:spacing w:line="216" w:lineRule="auto"/>
        <w:jc w:val="both"/>
        <w:textAlignment w:val="auto"/>
        <w:rPr>
          <w:rFonts w:ascii="Times New Roman" w:hAnsi="Times New Roman" w:cs="Times New Roman"/>
          <w:sz w:val="24"/>
          <w:szCs w:val="24"/>
        </w:rPr>
      </w:pPr>
    </w:p>
    <w:p>
      <w:pPr>
        <w:pStyle w:val="171"/>
        <w:keepNext w:val="0"/>
        <w:keepLines w:val="0"/>
        <w:pageBreakBefore w:val="0"/>
        <w:widowControl/>
        <w:overflowPunct w:val="0"/>
        <w:bidi w:val="0"/>
        <w:snapToGrid/>
        <w:spacing w:line="216" w:lineRule="auto"/>
        <w:jc w:val="right"/>
        <w:textAlignment w:val="auto"/>
      </w:pPr>
      <w:r>
        <w:rPr>
          <w:rFonts w:ascii="Times New Roman" w:hAnsi="Times New Roman" w:cs="Times New Roman"/>
          <w:sz w:val="24"/>
          <w:szCs w:val="24"/>
        </w:rPr>
        <w:t xml:space="preserve">Primavera do Leste - MT, </w:t>
      </w:r>
      <w:r>
        <w:rPr>
          <w:rFonts w:ascii="Times New Roman" w:hAnsi="Times New Roman" w:cs="Times New Roman"/>
          <w:sz w:val="24"/>
          <w:szCs w:val="24"/>
          <w:lang w:val="pt-BR"/>
        </w:rPr>
        <w:t>0</w:t>
      </w:r>
      <w:r>
        <w:rPr>
          <w:rFonts w:hint="default" w:ascii="Times New Roman" w:hAnsi="Times New Roman" w:cs="Times New Roman"/>
          <w:sz w:val="24"/>
          <w:szCs w:val="24"/>
          <w:lang w:val="pt-BR"/>
        </w:rPr>
        <w:t>5</w:t>
      </w:r>
      <w:r>
        <w:rPr>
          <w:rFonts w:ascii="Times New Roman" w:hAnsi="Times New Roman" w:cs="Times New Roman"/>
          <w:sz w:val="24"/>
          <w:szCs w:val="24"/>
          <w:lang w:val="pt-BR"/>
        </w:rPr>
        <w:t xml:space="preserve"> de Março </w:t>
      </w:r>
      <w:r>
        <w:rPr>
          <w:rFonts w:ascii="Times New Roman" w:hAnsi="Times New Roman" w:cs="Times New Roman"/>
          <w:sz w:val="24"/>
          <w:szCs w:val="24"/>
        </w:rPr>
        <w:t>e 2024.</w:t>
      </w:r>
    </w:p>
    <w:p>
      <w:pPr>
        <w:pStyle w:val="171"/>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000000"/>
          <w:sz w:val="24"/>
          <w:szCs w:val="24"/>
          <w:lang w:eastAsia="pt-BR"/>
        </w:rPr>
      </w:pPr>
      <w:r>
        <w:rPr>
          <w:rFonts w:ascii="Times New Roman" w:hAnsi="Times New Roman" w:eastAsia="Times New Roman" w:cs="Times New Roman"/>
          <w:b/>
          <w:bCs/>
          <w:color w:val="000000"/>
          <w:sz w:val="24"/>
          <w:szCs w:val="24"/>
          <w:lang w:eastAsia="pt-BR"/>
        </w:rPr>
        <w:t>Wender de Souza Barros</w:t>
      </w:r>
    </w:p>
    <w:p>
      <w:pPr>
        <w:pStyle w:val="17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r>
        <w:rPr>
          <w:rFonts w:hint="default" w:ascii="Times New Roman" w:hAnsi="Times New Roman" w:eastAsia="Times New Roman" w:cs="Times New Roman"/>
          <w:color w:val="000000"/>
          <w:sz w:val="24"/>
          <w:szCs w:val="24"/>
          <w:lang w:val="en-US" w:eastAsia="pt-BR"/>
        </w:rPr>
        <w:t xml:space="preserve">Pregoeiro - </w:t>
      </w:r>
      <w:r>
        <w:rPr>
          <w:rFonts w:ascii="Times New Roman" w:hAnsi="Times New Roman" w:eastAsia="Times New Roman" w:cs="Times New Roman"/>
          <w:color w:val="000000"/>
          <w:sz w:val="24"/>
          <w:szCs w:val="24"/>
          <w:lang w:eastAsia="pt-BR"/>
        </w:rPr>
        <w:t>Portaria nº 0</w:t>
      </w:r>
      <w:r>
        <w:rPr>
          <w:rFonts w:ascii="Times New Roman" w:hAnsi="Times New Roman" w:eastAsia="Times New Roman" w:cs="Times New Roman"/>
          <w:color w:val="000000"/>
          <w:sz w:val="24"/>
          <w:szCs w:val="24"/>
          <w:lang w:val="en-US" w:eastAsia="pt-BR"/>
        </w:rPr>
        <w:t>77/2024</w:t>
      </w:r>
    </w:p>
    <w:p>
      <w:pPr>
        <w:pStyle w:val="171"/>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1"/>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1"/>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Valdecir Alventino da Silva</w:t>
      </w:r>
    </w:p>
    <w:p>
      <w:pPr>
        <w:pStyle w:val="171"/>
        <w:keepNext w:val="0"/>
        <w:keepLines w:val="0"/>
        <w:pageBreakBefore w:val="0"/>
        <w:widowControl/>
        <w:overflowPunct w:val="0"/>
        <w:bidi w:val="0"/>
        <w:snapToGrid/>
        <w:spacing w:line="216" w:lineRule="auto"/>
        <w:jc w:val="center"/>
        <w:textAlignment w:val="auto"/>
        <w:rPr>
          <w:rFonts w:ascii="Times New Roman" w:hAnsi="Times New Roman" w:cs="Times New Roman"/>
          <w:sz w:val="24"/>
          <w:szCs w:val="24"/>
        </w:rPr>
      </w:pPr>
      <w:r>
        <w:rPr>
          <w:rFonts w:ascii="Times New Roman" w:hAnsi="Times New Roman" w:cs="Times New Roman"/>
          <w:sz w:val="24"/>
          <w:szCs w:val="24"/>
        </w:rPr>
        <w:t>Vereador Presidente</w:t>
      </w:r>
    </w:p>
    <w:p>
      <w:pPr>
        <w:pStyle w:val="171"/>
        <w:widowControl/>
        <w:overflowPunct w:val="0"/>
        <w:bidi w:val="0"/>
        <w:snapToGrid/>
        <w:spacing w:line="216" w:lineRule="auto"/>
        <w:jc w:val="center"/>
        <w:textAlignment w:val="auto"/>
        <w:rPr>
          <w:rFonts w:ascii="Times New Roman" w:hAnsi="Times New Roman" w:eastAsia="Times New Roman" w:cs="Times New Roman"/>
          <w:b/>
          <w:bCs/>
          <w:sz w:val="24"/>
          <w:szCs w:val="24"/>
          <w:highlight w:val="none"/>
          <w:shd w:val="clear" w:fill="auto"/>
          <w:lang w:eastAsia="pt-BR"/>
        </w:rPr>
      </w:pPr>
      <w:bookmarkStart w:id="59" w:name="_ANEXO_I_-"/>
      <w:bookmarkEnd w:id="59"/>
      <w:r>
        <w:br w:type="page"/>
      </w:r>
    </w:p>
    <w:p>
      <w:pPr>
        <w:pStyle w:val="2"/>
        <w:keepNext/>
        <w:numPr>
          <w:ilvl w:val="0"/>
          <w:numId w:val="0"/>
        </w:numPr>
        <w:spacing w:before="0" w:after="120"/>
        <w:ind w:left="0" w:firstLine="0"/>
        <w:jc w:val="center"/>
        <w:rPr>
          <w:rFonts w:ascii="Times New Roman" w:hAnsi="Times New Roman"/>
        </w:rPr>
      </w:pPr>
      <w:bookmarkStart w:id="60" w:name="_ANEXO_I_-_1"/>
      <w:bookmarkEnd w:id="60"/>
      <w:bookmarkStart w:id="61" w:name="_Toc149517466"/>
      <w:r>
        <w:t>ANEXO I – TERMO DE REFERÊNCIA</w:t>
      </w:r>
      <w:bookmarkEnd w:id="61"/>
    </w:p>
    <w:p>
      <w:pPr>
        <w:pStyle w:val="28"/>
        <w:tabs>
          <w:tab w:val="left" w:pos="993"/>
        </w:tabs>
        <w:spacing w:before="120" w:beforeAutospacing="0" w:after="120" w:afterAutospacing="0"/>
        <w:ind w:left="0" w:firstLine="0"/>
        <w:jc w:val="center"/>
        <w:rPr>
          <w:rFonts w:ascii="Times New Roman" w:hAnsi="Times New Roman"/>
          <w:sz w:val="24"/>
          <w:szCs w:val="24"/>
          <w:u w:val="none"/>
        </w:rPr>
      </w:pPr>
      <w:r>
        <w:rPr>
          <w:b/>
          <w:sz w:val="24"/>
          <w:szCs w:val="24"/>
          <w:u w:val="none"/>
        </w:rPr>
        <w:t xml:space="preserve">Termo de Referência </w:t>
      </w:r>
      <w:r>
        <w:rPr>
          <w:rFonts w:hint="default"/>
          <w:b/>
          <w:sz w:val="24"/>
          <w:szCs w:val="24"/>
          <w:u w:val="none"/>
          <w:lang w:val="pt-BR"/>
        </w:rPr>
        <w:t xml:space="preserve">nº </w:t>
      </w:r>
      <w:r>
        <w:rPr>
          <w:b/>
          <w:sz w:val="24"/>
          <w:szCs w:val="24"/>
          <w:u w:val="none"/>
        </w:rPr>
        <w:t>014/2024</w:t>
      </w:r>
    </w:p>
    <w:p>
      <w:pPr>
        <w:spacing w:line="276" w:lineRule="auto"/>
        <w:jc w:val="both"/>
        <w:rPr>
          <w:rFonts w:ascii="Times New Roman" w:hAnsi="Times New Roman"/>
          <w:b/>
          <w:sz w:val="24"/>
          <w:szCs w:val="24"/>
        </w:rPr>
      </w:pPr>
      <w:r>
        <w:rPr>
          <w:rFonts w:ascii="Times New Roman" w:hAnsi="Times New Roman"/>
          <w:b/>
          <w:sz w:val="24"/>
          <w:szCs w:val="24"/>
        </w:rPr>
        <w:t>1.OBJETO</w:t>
      </w:r>
    </w:p>
    <w:p>
      <w:pPr>
        <w:spacing w:line="240" w:lineRule="auto"/>
        <w:jc w:val="both"/>
        <w:rPr>
          <w:sz w:val="20"/>
          <w:szCs w:val="20"/>
        </w:rPr>
      </w:pPr>
      <w:r>
        <w:rPr>
          <w:rFonts w:ascii="Times New Roman" w:hAnsi="Times New Roman"/>
          <w:b w:val="0"/>
          <w:bCs w:val="0"/>
          <w:sz w:val="24"/>
          <w:szCs w:val="24"/>
          <w:shd w:val="clear" w:fill="auto"/>
        </w:rPr>
        <w:t xml:space="preserve">1.1 </w:t>
      </w:r>
      <w:r>
        <w:rPr>
          <w:rFonts w:ascii="Times New Roman" w:hAnsi="Times New Roman"/>
          <w:sz w:val="24"/>
          <w:szCs w:val="24"/>
        </w:rPr>
        <w:t>Registro de preços para futura e eventual contratação de empresa para a prestação de serviços de administração e gerenciamento informatizado para fornecimento de combustíveis e lubrificantes, bem como serviços de manutenção preventiva e corretiva de veículos como o fornecimento de peças acessórios multimarcas, através de redes de estabelecimentos credenciados pela contratada, com a implantação e operação de sistema informatizado e integrado para gestão da frota, com tecnologia de cartão magnético com chip (tipo smart) ou cartão com tarja magnética, valor estimado do combustível baseado no preço médio do combustível divulgado pela Agência Nacional de Petróleo - ANP - RONDONÓPOLIS, para atendimento à frota pertencente a Câmara Municipal de Primavera do Leste/ MT.</w:t>
      </w:r>
    </w:p>
    <w:tbl>
      <w:tblPr>
        <w:tblStyle w:val="9"/>
        <w:tblW w:w="8963" w:type="dxa"/>
        <w:tblInd w:w="157" w:type="dxa"/>
        <w:tblLayout w:type="fixed"/>
        <w:tblCellMar>
          <w:top w:w="0" w:type="dxa"/>
          <w:left w:w="70" w:type="dxa"/>
          <w:bottom w:w="0" w:type="dxa"/>
          <w:right w:w="70" w:type="dxa"/>
        </w:tblCellMar>
      </w:tblPr>
      <w:tblGrid>
        <w:gridCol w:w="708"/>
        <w:gridCol w:w="3942"/>
        <w:gridCol w:w="924"/>
        <w:gridCol w:w="1901"/>
        <w:gridCol w:w="1488"/>
      </w:tblGrid>
      <w:tr>
        <w:tblPrEx>
          <w:tblCellMar>
            <w:top w:w="0" w:type="dxa"/>
            <w:left w:w="70" w:type="dxa"/>
            <w:bottom w:w="0" w:type="dxa"/>
            <w:right w:w="70" w:type="dxa"/>
          </w:tblCellMar>
        </w:tblPrEx>
        <w:trPr>
          <w:trHeight w:val="495" w:hRule="atLeast"/>
        </w:trPr>
        <w:tc>
          <w:tcPr>
            <w:tcW w:w="708" w:type="dxa"/>
            <w:tcBorders>
              <w:top w:val="single" w:color="000000" w:sz="8" w:space="0"/>
              <w:left w:val="single" w:color="000000" w:sz="8" w:space="0"/>
              <w:bottom w:val="single" w:color="000000" w:sz="8" w:space="0"/>
            </w:tcBorders>
            <w:shd w:val="clear" w:color="auto" w:fill="B2B2B2"/>
            <w:vAlign w:val="center"/>
          </w:tcPr>
          <w:p>
            <w:pPr>
              <w:widowControl w:val="0"/>
              <w:spacing w:before="0" w:after="160" w:line="276" w:lineRule="auto"/>
              <w:jc w:val="both"/>
              <w:rPr>
                <w:rFonts w:ascii="Times New Roman" w:hAnsi="Times New Roman" w:cs="Arial"/>
                <w:b/>
                <w:bCs/>
                <w:sz w:val="18"/>
                <w:szCs w:val="18"/>
              </w:rPr>
            </w:pPr>
            <w:bookmarkStart w:id="62" w:name="RANGE!B3%252525252525252525252525253AH11"/>
            <w:r>
              <w:rPr>
                <w:rFonts w:ascii="Times New Roman" w:hAnsi="Times New Roman" w:cs="Arial"/>
                <w:b/>
                <w:bCs/>
                <w:sz w:val="18"/>
                <w:szCs w:val="18"/>
              </w:rPr>
              <w:t>I</w:t>
            </w:r>
            <w:bookmarkEnd w:id="62"/>
            <w:r>
              <w:rPr>
                <w:rFonts w:ascii="Times New Roman" w:hAnsi="Times New Roman" w:cs="Arial"/>
                <w:b/>
                <w:bCs/>
                <w:sz w:val="18"/>
                <w:szCs w:val="18"/>
              </w:rPr>
              <w:t>TEM</w:t>
            </w:r>
          </w:p>
        </w:tc>
        <w:tc>
          <w:tcPr>
            <w:tcW w:w="3942" w:type="dxa"/>
            <w:tcBorders>
              <w:top w:val="single" w:color="000000" w:sz="8" w:space="0"/>
              <w:left w:val="single" w:color="000000" w:sz="8" w:space="0"/>
              <w:bottom w:val="single" w:color="000000" w:sz="8" w:space="0"/>
              <w:right w:val="single" w:color="000000" w:sz="8" w:space="0"/>
            </w:tcBorders>
            <w:shd w:val="clear" w:color="auto" w:fill="B2B2B2"/>
            <w:vAlign w:val="center"/>
          </w:tcPr>
          <w:p>
            <w:pPr>
              <w:widowControl w:val="0"/>
              <w:spacing w:before="0" w:after="160" w:line="276" w:lineRule="auto"/>
              <w:jc w:val="both"/>
              <w:rPr>
                <w:rFonts w:ascii="Times New Roman" w:hAnsi="Times New Roman"/>
                <w:b/>
                <w:bCs/>
                <w:sz w:val="18"/>
                <w:szCs w:val="18"/>
              </w:rPr>
            </w:pPr>
            <w:r>
              <w:rPr>
                <w:rFonts w:ascii="Times New Roman" w:hAnsi="Times New Roman" w:cs="Arial"/>
                <w:b/>
                <w:bCs/>
                <w:sz w:val="18"/>
                <w:szCs w:val="18"/>
              </w:rPr>
              <w:t>D</w:t>
            </w:r>
            <w:r>
              <w:rPr>
                <w:rFonts w:ascii="Times New Roman" w:hAnsi="Times New Roman" w:cs="Arial"/>
                <w:b/>
                <w:bCs/>
                <w:sz w:val="18"/>
                <w:szCs w:val="18"/>
                <w:lang w:val="en-US"/>
              </w:rPr>
              <w:t>I</w:t>
            </w:r>
            <w:r>
              <w:rPr>
                <w:rFonts w:ascii="Times New Roman" w:hAnsi="Times New Roman" w:cs="Arial"/>
                <w:b/>
                <w:bCs/>
                <w:sz w:val="18"/>
                <w:szCs w:val="18"/>
              </w:rPr>
              <w:t>SCRIMINAÇÃO</w:t>
            </w:r>
          </w:p>
        </w:tc>
        <w:tc>
          <w:tcPr>
            <w:tcW w:w="924" w:type="dxa"/>
            <w:tcBorders>
              <w:top w:val="single" w:color="000000" w:sz="8" w:space="0"/>
              <w:bottom w:val="single" w:color="000000" w:sz="8" w:space="0"/>
            </w:tcBorders>
            <w:shd w:val="clear" w:color="auto" w:fill="B2B2B2"/>
            <w:vAlign w:val="center"/>
          </w:tcPr>
          <w:p>
            <w:pPr>
              <w:widowControl w:val="0"/>
              <w:spacing w:before="0" w:after="160" w:line="276" w:lineRule="auto"/>
              <w:jc w:val="both"/>
              <w:rPr>
                <w:rFonts w:ascii="Times New Roman" w:hAnsi="Times New Roman" w:cs="Arial"/>
                <w:b/>
                <w:bCs/>
                <w:sz w:val="18"/>
                <w:szCs w:val="18"/>
              </w:rPr>
            </w:pPr>
            <w:r>
              <w:rPr>
                <w:rFonts w:ascii="Times New Roman" w:hAnsi="Times New Roman" w:cs="Arial"/>
                <w:b/>
                <w:bCs/>
                <w:sz w:val="18"/>
                <w:szCs w:val="18"/>
              </w:rPr>
              <w:t>UND</w:t>
            </w:r>
          </w:p>
        </w:tc>
        <w:tc>
          <w:tcPr>
            <w:tcW w:w="1901" w:type="dxa"/>
            <w:tcBorders>
              <w:top w:val="single" w:color="000000" w:sz="8" w:space="0"/>
              <w:left w:val="single" w:color="000000" w:sz="8" w:space="0"/>
              <w:bottom w:val="single" w:color="000000" w:sz="8" w:space="0"/>
            </w:tcBorders>
            <w:shd w:val="clear" w:color="auto" w:fill="B2B2B2"/>
            <w:vAlign w:val="center"/>
          </w:tcPr>
          <w:p>
            <w:pPr>
              <w:widowControl w:val="0"/>
              <w:spacing w:before="0" w:after="160" w:line="276" w:lineRule="auto"/>
              <w:jc w:val="both"/>
              <w:rPr>
                <w:rFonts w:ascii="Times New Roman" w:hAnsi="Times New Roman" w:cs="Arial"/>
                <w:b/>
                <w:bCs/>
                <w:sz w:val="18"/>
                <w:szCs w:val="18"/>
                <w:lang w:val="pt-BR"/>
              </w:rPr>
            </w:pPr>
            <w:r>
              <w:rPr>
                <w:rFonts w:ascii="Times New Roman" w:hAnsi="Times New Roman" w:cs="Arial"/>
                <w:b/>
                <w:bCs/>
                <w:sz w:val="18"/>
                <w:szCs w:val="18"/>
                <w:lang w:val="pt-BR"/>
              </w:rPr>
              <w:t>MÉDIA TAXA DE ADMINISTRAÇÃO:</w:t>
            </w:r>
          </w:p>
        </w:tc>
        <w:tc>
          <w:tcPr>
            <w:tcW w:w="1488" w:type="dxa"/>
            <w:tcBorders>
              <w:top w:val="single" w:color="000000" w:sz="8" w:space="0"/>
              <w:left w:val="single" w:color="000000" w:sz="8" w:space="0"/>
              <w:bottom w:val="single" w:color="000000" w:sz="8" w:space="0"/>
              <w:right w:val="single" w:color="000000" w:sz="8" w:space="0"/>
            </w:tcBorders>
            <w:shd w:val="clear" w:color="auto" w:fill="B2B2B2"/>
            <w:vAlign w:val="center"/>
          </w:tcPr>
          <w:p>
            <w:pPr>
              <w:widowControl w:val="0"/>
              <w:spacing w:before="0" w:after="160" w:line="276" w:lineRule="auto"/>
              <w:jc w:val="both"/>
              <w:rPr>
                <w:rFonts w:ascii="Times New Roman" w:hAnsi="Times New Roman"/>
                <w:b/>
                <w:bCs/>
                <w:sz w:val="18"/>
                <w:szCs w:val="18"/>
              </w:rPr>
            </w:pPr>
            <w:r>
              <w:rPr>
                <w:rFonts w:ascii="Times New Roman" w:hAnsi="Times New Roman" w:cs="Arial"/>
                <w:b/>
                <w:bCs/>
                <w:sz w:val="18"/>
                <w:szCs w:val="18"/>
              </w:rPr>
              <w:t>MÉDIA VALOR TOTAL ANUAL</w:t>
            </w:r>
            <w:r>
              <w:rPr>
                <w:rFonts w:ascii="Times New Roman" w:hAnsi="Times New Roman" w:cs="Arial"/>
                <w:b/>
                <w:bCs/>
                <w:sz w:val="18"/>
                <w:szCs w:val="18"/>
                <w:lang w:val="en-US"/>
              </w:rPr>
              <w:t xml:space="preserve"> – R$:</w:t>
            </w:r>
          </w:p>
        </w:tc>
      </w:tr>
      <w:tr>
        <w:tblPrEx>
          <w:tblCellMar>
            <w:top w:w="0" w:type="dxa"/>
            <w:left w:w="70" w:type="dxa"/>
            <w:bottom w:w="0" w:type="dxa"/>
            <w:right w:w="70" w:type="dxa"/>
          </w:tblCellMar>
        </w:tblPrEx>
        <w:trPr>
          <w:trHeight w:val="495" w:hRule="atLeast"/>
        </w:trPr>
        <w:tc>
          <w:tcPr>
            <w:tcW w:w="708" w:type="dxa"/>
            <w:tcBorders>
              <w:left w:val="single" w:color="000000" w:sz="8" w:space="0"/>
              <w:bottom w:val="single" w:color="000000" w:sz="4" w:space="0"/>
            </w:tcBorders>
            <w:vAlign w:val="center"/>
          </w:tcPr>
          <w:p>
            <w:pPr>
              <w:widowControl w:val="0"/>
              <w:spacing w:before="0" w:after="160" w:line="276" w:lineRule="auto"/>
              <w:jc w:val="both"/>
              <w:rPr>
                <w:rFonts w:ascii="Times New Roman" w:hAnsi="Times New Roman" w:cs="Arial"/>
                <w:bCs/>
                <w:sz w:val="18"/>
                <w:szCs w:val="18"/>
              </w:rPr>
            </w:pPr>
            <w:r>
              <w:rPr>
                <w:rFonts w:ascii="Times New Roman" w:hAnsi="Times New Roman" w:cs="Arial"/>
                <w:bCs/>
                <w:sz w:val="18"/>
                <w:szCs w:val="18"/>
              </w:rPr>
              <w:t>01</w:t>
            </w:r>
          </w:p>
        </w:tc>
        <w:tc>
          <w:tcPr>
            <w:tcW w:w="3942" w:type="dxa"/>
            <w:tcBorders>
              <w:left w:val="single" w:color="000000" w:sz="8" w:space="0"/>
              <w:bottom w:val="single" w:color="000000" w:sz="4" w:space="0"/>
              <w:right w:val="single" w:color="000000" w:sz="8" w:space="0"/>
            </w:tcBorders>
            <w:vAlign w:val="center"/>
          </w:tcPr>
          <w:p>
            <w:pPr>
              <w:spacing w:line="276" w:lineRule="auto"/>
              <w:jc w:val="both"/>
              <w:rPr>
                <w:rFonts w:ascii="Times New Roman" w:hAnsi="Times New Roman"/>
                <w:sz w:val="18"/>
                <w:szCs w:val="18"/>
              </w:rPr>
            </w:pPr>
            <w:r>
              <w:rPr>
                <w:rFonts w:ascii="Times New Roman" w:hAnsi="Times New Roman"/>
                <w:sz w:val="18"/>
                <w:szCs w:val="18"/>
              </w:rPr>
              <w:t>SERVIÇO DE GERENCIAMENTO DE FROTA</w:t>
            </w:r>
          </w:p>
          <w:p>
            <w:pPr>
              <w:spacing w:before="0" w:after="200" w:line="276" w:lineRule="auto"/>
              <w:jc w:val="both"/>
              <w:rPr>
                <w:rFonts w:ascii="Times New Roman" w:hAnsi="Times New Roman"/>
                <w:sz w:val="18"/>
                <w:szCs w:val="18"/>
              </w:rPr>
            </w:pPr>
            <w:r>
              <w:rPr>
                <w:rFonts w:ascii="Times New Roman" w:hAnsi="Times New Roman"/>
                <w:sz w:val="18"/>
                <w:szCs w:val="18"/>
              </w:rPr>
              <w:t>Serviços de e gerenciamento informatizado para fornecimento de combustíveis e lubrificantes, bem como serviços de manutenção preventiva e corretiva de veículos como o fornecimento de peças acessórios multimarcas, através de redes de estabelecimentos credenciados pela contratada, com a implantação e operação de sistema informatizado e integrado para gestão da frota, com tecnologia de cartão magnético com chip (tipo smart) ou cartão com tarja magnética, atendendo as necessidades da Câmara Municipal de Primavera do Leste-MT</w:t>
            </w:r>
          </w:p>
        </w:tc>
        <w:tc>
          <w:tcPr>
            <w:tcW w:w="924" w:type="dxa"/>
            <w:tcBorders>
              <w:bottom w:val="single" w:color="000000" w:sz="4" w:space="0"/>
            </w:tcBorders>
            <w:vAlign w:val="center"/>
          </w:tcPr>
          <w:p>
            <w:pPr>
              <w:widowControl w:val="0"/>
              <w:spacing w:before="0" w:after="160" w:line="276" w:lineRule="auto"/>
              <w:jc w:val="both"/>
              <w:rPr>
                <w:rFonts w:ascii="Times New Roman" w:hAnsi="Times New Roman" w:cs="Arial"/>
                <w:bCs/>
                <w:sz w:val="18"/>
                <w:szCs w:val="18"/>
              </w:rPr>
            </w:pPr>
            <w:r>
              <w:rPr>
                <w:rFonts w:ascii="Times New Roman" w:hAnsi="Times New Roman" w:cs="Arial"/>
                <w:bCs/>
                <w:sz w:val="18"/>
                <w:szCs w:val="18"/>
              </w:rPr>
              <w:t>SERV</w:t>
            </w:r>
          </w:p>
        </w:tc>
        <w:tc>
          <w:tcPr>
            <w:tcW w:w="1901" w:type="dxa"/>
            <w:tcBorders>
              <w:left w:val="single" w:color="000000" w:sz="8" w:space="0"/>
              <w:bottom w:val="single" w:color="000000" w:sz="8" w:space="0"/>
            </w:tcBorders>
            <w:vAlign w:val="center"/>
          </w:tcPr>
          <w:p>
            <w:pPr>
              <w:widowControl w:val="0"/>
              <w:spacing w:before="0" w:after="160" w:line="276" w:lineRule="auto"/>
              <w:jc w:val="both"/>
              <w:rPr>
                <w:rFonts w:ascii="Times New Roman" w:hAnsi="Times New Roman"/>
                <w:sz w:val="18"/>
                <w:szCs w:val="18"/>
              </w:rPr>
            </w:pPr>
            <w:r>
              <w:rPr>
                <w:rFonts w:ascii="Times New Roman" w:hAnsi="Times New Roman"/>
                <w:sz w:val="18"/>
                <w:szCs w:val="18"/>
              </w:rPr>
              <w:t>2,30%</w:t>
            </w:r>
          </w:p>
        </w:tc>
        <w:tc>
          <w:tcPr>
            <w:tcW w:w="1488" w:type="dxa"/>
            <w:tcBorders>
              <w:left w:val="single" w:color="000000" w:sz="8" w:space="0"/>
              <w:bottom w:val="single" w:color="000000" w:sz="8" w:space="0"/>
              <w:right w:val="single" w:color="000000" w:sz="8" w:space="0"/>
            </w:tcBorders>
            <w:vAlign w:val="center"/>
          </w:tcPr>
          <w:p>
            <w:pPr>
              <w:widowControl w:val="0"/>
              <w:spacing w:before="0" w:after="160" w:line="276" w:lineRule="auto"/>
              <w:jc w:val="both"/>
              <w:rPr>
                <w:rFonts w:ascii="Times New Roman" w:hAnsi="Times New Roman"/>
                <w:sz w:val="18"/>
                <w:szCs w:val="18"/>
              </w:rPr>
            </w:pPr>
            <w:r>
              <w:rPr>
                <w:rFonts w:ascii="Times New Roman" w:hAnsi="Times New Roman"/>
                <w:sz w:val="18"/>
                <w:szCs w:val="18"/>
              </w:rPr>
              <w:t>194.963,00</w:t>
            </w:r>
          </w:p>
        </w:tc>
      </w:tr>
      <w:tr>
        <w:tblPrEx>
          <w:tblCellMar>
            <w:top w:w="0" w:type="dxa"/>
            <w:left w:w="70" w:type="dxa"/>
            <w:bottom w:w="0" w:type="dxa"/>
            <w:right w:w="70" w:type="dxa"/>
          </w:tblCellMar>
        </w:tblPrEx>
        <w:trPr>
          <w:trHeight w:val="1286" w:hRule="atLeast"/>
        </w:trPr>
        <w:tc>
          <w:tcPr>
            <w:tcW w:w="8963" w:type="dxa"/>
            <w:gridSpan w:val="5"/>
            <w:tcBorders>
              <w:top w:val="single" w:color="000000" w:sz="4" w:space="0"/>
              <w:left w:val="single" w:color="000000" w:sz="4" w:space="0"/>
              <w:bottom w:val="single" w:color="000000" w:sz="4" w:space="0"/>
              <w:right w:val="single" w:color="000000" w:sz="4" w:space="0"/>
            </w:tcBorders>
            <w:vAlign w:val="center"/>
          </w:tcPr>
          <w:p>
            <w:pPr>
              <w:spacing w:line="276" w:lineRule="auto"/>
              <w:jc w:val="both"/>
              <w:rPr>
                <w:rFonts w:ascii="Times New Roman" w:hAnsi="Times New Roman"/>
                <w:b/>
                <w:bCs/>
                <w:sz w:val="20"/>
                <w:szCs w:val="20"/>
              </w:rPr>
            </w:pPr>
            <w:r>
              <w:rPr>
                <w:rFonts w:ascii="Times New Roman" w:hAnsi="Times New Roman"/>
                <w:b/>
                <w:bCs/>
                <w:sz w:val="20"/>
                <w:szCs w:val="20"/>
              </w:rPr>
              <w:t>Combustível, consumo anual: VALORES DE REFERENCIA TABELA ANP – RONDONÓPOLIS</w:t>
            </w:r>
          </w:p>
          <w:p>
            <w:pPr>
              <w:spacing w:line="276" w:lineRule="auto"/>
              <w:jc w:val="both"/>
              <w:rPr>
                <w:rFonts w:ascii="Times New Roman" w:hAnsi="Times New Roman"/>
                <w:b/>
                <w:bCs/>
                <w:sz w:val="20"/>
                <w:szCs w:val="20"/>
              </w:rPr>
            </w:pPr>
            <w:r>
              <w:rPr>
                <w:rFonts w:ascii="Times New Roman" w:hAnsi="Times New Roman"/>
                <w:b/>
                <w:bCs/>
                <w:sz w:val="20"/>
                <w:szCs w:val="20"/>
              </w:rPr>
              <w:t>DEMANDA ESTIMADA</w:t>
            </w:r>
          </w:p>
          <w:tbl>
            <w:tblPr>
              <w:tblStyle w:val="9"/>
              <w:tblW w:w="5000" w:type="pct"/>
              <w:tblInd w:w="0" w:type="dxa"/>
              <w:tblLayout w:type="fixed"/>
              <w:tblCellMar>
                <w:top w:w="55" w:type="dxa"/>
                <w:left w:w="55" w:type="dxa"/>
                <w:bottom w:w="55" w:type="dxa"/>
                <w:right w:w="55" w:type="dxa"/>
              </w:tblCellMar>
            </w:tblPr>
            <w:tblGrid>
              <w:gridCol w:w="2157"/>
              <w:gridCol w:w="989"/>
              <w:gridCol w:w="1973"/>
              <w:gridCol w:w="1852"/>
              <w:gridCol w:w="1852"/>
            </w:tblGrid>
            <w:tr>
              <w:tblPrEx>
                <w:tblCellMar>
                  <w:top w:w="55" w:type="dxa"/>
                  <w:left w:w="55" w:type="dxa"/>
                  <w:bottom w:w="55" w:type="dxa"/>
                  <w:right w:w="55" w:type="dxa"/>
                </w:tblCellMar>
              </w:tblPrEx>
              <w:tc>
                <w:tcPr>
                  <w:tcW w:w="2157"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DESCRIÇÃO</w:t>
                  </w:r>
                </w:p>
              </w:tc>
              <w:tc>
                <w:tcPr>
                  <w:tcW w:w="989"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UNIDADE</w:t>
                  </w:r>
                </w:p>
              </w:tc>
              <w:tc>
                <w:tcPr>
                  <w:tcW w:w="1973"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QUANTIDADE ESTIMADA EM LITROS</w:t>
                  </w:r>
                </w:p>
              </w:tc>
              <w:tc>
                <w:tcPr>
                  <w:tcW w:w="1852" w:type="dxa"/>
                  <w:tcBorders>
                    <w:top w:val="single" w:color="000000" w:sz="4" w:space="0"/>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VALOR UNITÁRIO DO LITRO</w:t>
                  </w:r>
                </w:p>
              </w:tc>
              <w:tc>
                <w:tcPr>
                  <w:tcW w:w="1852" w:type="dxa"/>
                  <w:tcBorders>
                    <w:top w:val="single" w:color="000000" w:sz="4" w:space="0"/>
                    <w:left w:val="single" w:color="000000" w:sz="4" w:space="0"/>
                    <w:bottom w:val="single" w:color="000000" w:sz="4" w:space="0"/>
                    <w:right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QUANTIDADE ESTIMADA EM R$</w:t>
                  </w:r>
                </w:p>
              </w:tc>
            </w:tr>
            <w:tr>
              <w:tblPrEx>
                <w:tblCellMar>
                  <w:top w:w="55" w:type="dxa"/>
                  <w:left w:w="55" w:type="dxa"/>
                  <w:bottom w:w="55" w:type="dxa"/>
                  <w:right w:w="55" w:type="dxa"/>
                </w:tblCellMar>
              </w:tblPrEx>
              <w:trPr>
                <w:trHeight w:val="437" w:hRule="atLeast"/>
              </w:trPr>
              <w:tc>
                <w:tcPr>
                  <w:tcW w:w="2157"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GASOLINA COMUM</w:t>
                  </w:r>
                </w:p>
              </w:tc>
              <w:tc>
                <w:tcPr>
                  <w:tcW w:w="989"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LITRO</w:t>
                  </w:r>
                </w:p>
              </w:tc>
              <w:tc>
                <w:tcPr>
                  <w:tcW w:w="1973"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20.000</w:t>
                  </w:r>
                </w:p>
              </w:tc>
              <w:tc>
                <w:tcPr>
                  <w:tcW w:w="1852"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5,69</w:t>
                  </w:r>
                </w:p>
              </w:tc>
              <w:tc>
                <w:tcPr>
                  <w:tcW w:w="1852" w:type="dxa"/>
                  <w:tcBorders>
                    <w:left w:val="single" w:color="000000" w:sz="4" w:space="0"/>
                    <w:bottom w:val="single" w:color="000000" w:sz="4" w:space="0"/>
                    <w:right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113.800,00</w:t>
                  </w:r>
                </w:p>
              </w:tc>
            </w:tr>
            <w:tr>
              <w:tblPrEx>
                <w:tblCellMar>
                  <w:top w:w="55" w:type="dxa"/>
                  <w:left w:w="55" w:type="dxa"/>
                  <w:bottom w:w="55" w:type="dxa"/>
                  <w:right w:w="55" w:type="dxa"/>
                </w:tblCellMar>
              </w:tblPrEx>
              <w:tc>
                <w:tcPr>
                  <w:tcW w:w="2157"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DIESEL S-10</w:t>
                  </w:r>
                </w:p>
              </w:tc>
              <w:tc>
                <w:tcPr>
                  <w:tcW w:w="989"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LITRO</w:t>
                  </w:r>
                </w:p>
              </w:tc>
              <w:tc>
                <w:tcPr>
                  <w:tcW w:w="1973"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7.000</w:t>
                  </w:r>
                </w:p>
              </w:tc>
              <w:tc>
                <w:tcPr>
                  <w:tcW w:w="1852" w:type="dxa"/>
                  <w:tcBorders>
                    <w:left w:val="single" w:color="000000" w:sz="4" w:space="0"/>
                    <w:bottom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6,39</w:t>
                  </w:r>
                </w:p>
              </w:tc>
              <w:tc>
                <w:tcPr>
                  <w:tcW w:w="1852" w:type="dxa"/>
                  <w:tcBorders>
                    <w:left w:val="single" w:color="000000" w:sz="4" w:space="0"/>
                    <w:bottom w:val="single" w:color="000000" w:sz="4" w:space="0"/>
                    <w:right w:val="single" w:color="000000" w:sz="4" w:space="0"/>
                  </w:tcBorders>
                </w:tcPr>
                <w:p>
                  <w:pPr>
                    <w:pStyle w:val="168"/>
                    <w:widowControl/>
                    <w:suppressAutoHyphens/>
                    <w:spacing w:before="0" w:after="200" w:line="276" w:lineRule="auto"/>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44.730,00</w:t>
                  </w:r>
                </w:p>
              </w:tc>
            </w:tr>
          </w:tbl>
          <w:p>
            <w:pPr>
              <w:spacing w:line="276" w:lineRule="auto"/>
              <w:jc w:val="both"/>
              <w:rPr>
                <w:rFonts w:ascii="Times New Roman" w:hAnsi="Times New Roman"/>
                <w:sz w:val="20"/>
                <w:szCs w:val="20"/>
              </w:rPr>
            </w:pPr>
            <w:r>
              <w:rPr>
                <w:rFonts w:ascii="Times New Roman" w:hAnsi="Times New Roman"/>
                <w:sz w:val="20"/>
                <w:szCs w:val="20"/>
              </w:rPr>
              <w:t>Quantidade em litros de gasolina definida a partir dos dados de consumo do contrato vigente e a estimativa de consumo de óleo diesel foi estimado referente a demanda da Câmara Municipal.</w:t>
            </w:r>
          </w:p>
          <w:p>
            <w:pPr>
              <w:spacing w:line="276" w:lineRule="auto"/>
              <w:jc w:val="both"/>
              <w:rPr>
                <w:rFonts w:ascii="Times New Roman" w:hAnsi="Times New Roman"/>
                <w:b w:val="0"/>
                <w:bCs w:val="0"/>
                <w:sz w:val="20"/>
                <w:szCs w:val="20"/>
              </w:rPr>
            </w:pPr>
            <w:r>
              <w:rPr>
                <w:rFonts w:ascii="Times New Roman" w:hAnsi="Times New Roman"/>
                <w:b w:val="0"/>
                <w:bCs w:val="0"/>
                <w:sz w:val="20"/>
                <w:szCs w:val="20"/>
              </w:rPr>
              <w:t>Valores baseados no valor da tabela da ANP (Agência Nacional de Petróleo) do município de Rondonópolis no período de 31/12/2023 a 06/01/2024.</w:t>
            </w:r>
          </w:p>
          <w:p>
            <w:pPr>
              <w:spacing w:line="276" w:lineRule="auto"/>
              <w:jc w:val="both"/>
              <w:rPr>
                <w:rFonts w:ascii="Times New Roman" w:hAnsi="Times New Roman"/>
                <w:b w:val="0"/>
                <w:bCs w:val="0"/>
                <w:sz w:val="20"/>
                <w:szCs w:val="20"/>
              </w:rPr>
            </w:pPr>
          </w:p>
          <w:p>
            <w:pPr>
              <w:spacing w:line="276" w:lineRule="auto"/>
              <w:jc w:val="both"/>
              <w:rPr>
                <w:rFonts w:ascii="Times New Roman" w:hAnsi="Times New Roman"/>
                <w:b/>
                <w:bCs/>
                <w:sz w:val="20"/>
                <w:szCs w:val="20"/>
              </w:rPr>
            </w:pPr>
            <w:r>
              <w:rPr>
                <w:rFonts w:ascii="Times New Roman" w:hAnsi="Times New Roman"/>
                <w:b/>
                <w:bCs/>
                <w:sz w:val="20"/>
                <w:szCs w:val="20"/>
              </w:rPr>
              <w:t>Peças e serviços automotivos, consumo anual:</w:t>
            </w:r>
          </w:p>
          <w:tbl>
            <w:tblPr>
              <w:tblStyle w:val="9"/>
              <w:tblW w:w="5000" w:type="pct"/>
              <w:tblInd w:w="0" w:type="dxa"/>
              <w:tblLayout w:type="fixed"/>
              <w:tblCellMar>
                <w:top w:w="55" w:type="dxa"/>
                <w:left w:w="55" w:type="dxa"/>
                <w:bottom w:w="55" w:type="dxa"/>
                <w:right w:w="55" w:type="dxa"/>
              </w:tblCellMar>
            </w:tblPr>
            <w:tblGrid>
              <w:gridCol w:w="5883"/>
              <w:gridCol w:w="2940"/>
            </w:tblGrid>
            <w:tr>
              <w:tblPrEx>
                <w:tblCellMar>
                  <w:top w:w="55" w:type="dxa"/>
                  <w:left w:w="55" w:type="dxa"/>
                  <w:bottom w:w="55" w:type="dxa"/>
                  <w:right w:w="55" w:type="dxa"/>
                </w:tblCellMar>
              </w:tblPrEx>
              <w:tc>
                <w:tcPr>
                  <w:tcW w:w="5882" w:type="dxa"/>
                  <w:tcBorders>
                    <w:top w:val="single" w:color="000000" w:sz="4" w:space="0"/>
                    <w:left w:val="single" w:color="000000" w:sz="4" w:space="0"/>
                    <w:bottom w:val="single" w:color="000000" w:sz="4" w:space="0"/>
                  </w:tcBorders>
                </w:tcPr>
                <w:p>
                  <w:pPr>
                    <w:pStyle w:val="168"/>
                    <w:widowControl/>
                    <w:suppressAutoHyphens/>
                    <w:spacing w:before="0" w:after="200"/>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DESCRIÇÃO</w:t>
                  </w:r>
                </w:p>
              </w:tc>
              <w:tc>
                <w:tcPr>
                  <w:tcW w:w="2940" w:type="dxa"/>
                  <w:tcBorders>
                    <w:top w:val="single" w:color="000000" w:sz="4" w:space="0"/>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GASTO ANUAL (R$)</w:t>
                  </w:r>
                </w:p>
              </w:tc>
            </w:tr>
            <w:tr>
              <w:tblPrEx>
                <w:tblCellMar>
                  <w:top w:w="55" w:type="dxa"/>
                  <w:left w:w="55" w:type="dxa"/>
                  <w:bottom w:w="55" w:type="dxa"/>
                  <w:right w:w="55" w:type="dxa"/>
                </w:tblCellMar>
              </w:tblPrEx>
              <w:tc>
                <w:tcPr>
                  <w:tcW w:w="5882"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Peças, insumos e acessórios para veículos</w:t>
                  </w:r>
                </w:p>
              </w:tc>
              <w:tc>
                <w:tcPr>
                  <w:tcW w:w="2940"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19.100,00</w:t>
                  </w:r>
                </w:p>
              </w:tc>
            </w:tr>
            <w:tr>
              <w:tblPrEx>
                <w:tblCellMar>
                  <w:top w:w="55" w:type="dxa"/>
                  <w:left w:w="55" w:type="dxa"/>
                  <w:bottom w:w="55" w:type="dxa"/>
                  <w:right w:w="55" w:type="dxa"/>
                </w:tblCellMar>
              </w:tblPrEx>
              <w:tc>
                <w:tcPr>
                  <w:tcW w:w="5882"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Serviços</w:t>
                  </w:r>
                </w:p>
              </w:tc>
              <w:tc>
                <w:tcPr>
                  <w:tcW w:w="2940"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0"/>
                      <w:szCs w:val="20"/>
                    </w:rPr>
                  </w:pPr>
                  <w:r>
                    <w:rPr>
                      <w:rFonts w:ascii="Times New Roman" w:hAnsi="Times New Roman" w:eastAsia="Calibri" w:cs="Times New Roman"/>
                      <w:kern w:val="0"/>
                      <w:sz w:val="20"/>
                      <w:szCs w:val="20"/>
                      <w:lang w:val="pt-BR" w:eastAsia="zh-CN" w:bidi="hi-IN"/>
                    </w:rPr>
                    <w:t>12.950,00</w:t>
                  </w:r>
                </w:p>
              </w:tc>
            </w:tr>
            <w:tr>
              <w:tblPrEx>
                <w:tblCellMar>
                  <w:top w:w="55" w:type="dxa"/>
                  <w:left w:w="55" w:type="dxa"/>
                  <w:bottom w:w="55" w:type="dxa"/>
                  <w:right w:w="55" w:type="dxa"/>
                </w:tblCellMar>
              </w:tblPrEx>
              <w:tc>
                <w:tcPr>
                  <w:tcW w:w="5882"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b/>
                      <w:bCs/>
                      <w:sz w:val="20"/>
                      <w:szCs w:val="20"/>
                    </w:rPr>
                  </w:pPr>
                  <w:r>
                    <w:rPr>
                      <w:rFonts w:ascii="Times New Roman" w:hAnsi="Times New Roman" w:eastAsia="Calibri" w:cs="Times New Roman"/>
                      <w:b/>
                      <w:bCs/>
                      <w:kern w:val="0"/>
                      <w:sz w:val="20"/>
                      <w:szCs w:val="20"/>
                      <w:lang w:val="pt-BR" w:eastAsia="zh-CN" w:bidi="hi-IN"/>
                    </w:rPr>
                    <w:t>Total estimado</w:t>
                  </w:r>
                </w:p>
              </w:tc>
              <w:tc>
                <w:tcPr>
                  <w:tcW w:w="2940"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b/>
                      <w:bCs/>
                      <w:sz w:val="20"/>
                      <w:szCs w:val="20"/>
                    </w:rPr>
                  </w:pPr>
                  <w:r>
                    <w:rPr>
                      <w:rFonts w:ascii="Times New Roman" w:hAnsi="Times New Roman" w:eastAsia="Calibri" w:cs="Times New Roman"/>
                      <w:b/>
                      <w:bCs/>
                      <w:kern w:val="0"/>
                      <w:sz w:val="20"/>
                      <w:szCs w:val="20"/>
                      <w:lang w:val="pt-BR" w:eastAsia="zh-CN" w:bidi="hi-IN"/>
                    </w:rPr>
                    <w:t>32.050,00</w:t>
                  </w:r>
                </w:p>
              </w:tc>
            </w:tr>
          </w:tbl>
          <w:p>
            <w:pPr>
              <w:spacing w:before="0" w:after="200" w:line="276" w:lineRule="auto"/>
              <w:jc w:val="both"/>
              <w:rPr>
                <w:rFonts w:ascii="Times New Roman" w:hAnsi="Times New Roman"/>
                <w:b w:val="0"/>
                <w:bCs w:val="0"/>
                <w:sz w:val="20"/>
                <w:szCs w:val="20"/>
              </w:rPr>
            </w:pPr>
          </w:p>
        </w:tc>
      </w:tr>
    </w:tbl>
    <w:p>
      <w:pPr>
        <w:spacing w:line="276" w:lineRule="auto"/>
        <w:jc w:val="both"/>
        <w:rPr>
          <w:rFonts w:cs="Arial"/>
          <w:bCs/>
          <w:sz w:val="20"/>
          <w:szCs w:val="20"/>
        </w:rPr>
      </w:pPr>
    </w:p>
    <w:p>
      <w:pPr>
        <w:spacing w:line="276" w:lineRule="auto"/>
        <w:jc w:val="both"/>
        <w:rPr>
          <w:rFonts w:ascii="Times New Roman" w:hAnsi="Times New Roman"/>
          <w:sz w:val="24"/>
          <w:szCs w:val="24"/>
        </w:rPr>
      </w:pPr>
      <w:r>
        <w:rPr>
          <w:rFonts w:ascii="Times New Roman" w:hAnsi="Times New Roman" w:cs="Arial"/>
          <w:b/>
          <w:bCs/>
          <w:sz w:val="24"/>
          <w:szCs w:val="24"/>
        </w:rPr>
        <w:t>1.1.1.</w:t>
      </w:r>
      <w:r>
        <w:rPr>
          <w:rFonts w:ascii="Times New Roman" w:hAnsi="Times New Roman" w:cs="Arial"/>
          <w:bCs/>
          <w:sz w:val="24"/>
          <w:szCs w:val="24"/>
        </w:rPr>
        <w:t xml:space="preserve"> A empresa contratada deverá, além da locação do sistema de autogestão integrada, disponibilizar a Câmara Municipal, o sistema integrado ao sistema de autogestão, sem qualquer custo direto adicional ou cobrança de taxas/percentuais, sendo que os valores constantes no referido são apenas estimativas de gasto direto pela Administração durante a vigência contratual.</w:t>
      </w:r>
    </w:p>
    <w:p>
      <w:pPr>
        <w:spacing w:line="276" w:lineRule="auto"/>
        <w:jc w:val="both"/>
        <w:rPr>
          <w:rFonts w:ascii="Times New Roman" w:hAnsi="Times New Roman" w:cs="Arial"/>
          <w:bCs/>
          <w:sz w:val="24"/>
          <w:szCs w:val="24"/>
        </w:rPr>
      </w:pPr>
      <w:r>
        <w:rPr>
          <w:rFonts w:ascii="Times New Roman" w:hAnsi="Times New Roman" w:cs="Arial"/>
          <w:b/>
          <w:bCs/>
          <w:sz w:val="24"/>
          <w:szCs w:val="24"/>
        </w:rPr>
        <w:t>1.1.2.</w:t>
      </w:r>
      <w:r>
        <w:rPr>
          <w:rFonts w:ascii="Times New Roman" w:hAnsi="Times New Roman" w:cs="Arial"/>
          <w:bCs/>
          <w:sz w:val="24"/>
          <w:szCs w:val="24"/>
        </w:rPr>
        <w:t xml:space="preserve"> Para o sistema detalhado, por não haver nenhum custo adicional ao Município, será previsto apenas uma projeção de gasto anual, sendo devidamente empenhado conforme necessidade de eventual utilização.  </w:t>
      </w:r>
    </w:p>
    <w:p>
      <w:pPr>
        <w:spacing w:line="276" w:lineRule="auto"/>
        <w:jc w:val="both"/>
        <w:rPr>
          <w:rFonts w:ascii="Times New Roman" w:hAnsi="Times New Roman" w:cs="Arial"/>
          <w:bCs/>
          <w:sz w:val="24"/>
          <w:szCs w:val="24"/>
        </w:rPr>
      </w:pPr>
      <w:r>
        <w:rPr>
          <w:rFonts w:ascii="Times New Roman" w:hAnsi="Times New Roman" w:cs="Arial"/>
          <w:b/>
          <w:bCs/>
          <w:sz w:val="24"/>
          <w:szCs w:val="24"/>
        </w:rPr>
        <w:t>1.1.3.</w:t>
      </w:r>
      <w:r>
        <w:rPr>
          <w:rFonts w:ascii="Times New Roman" w:hAnsi="Times New Roman" w:cs="Arial"/>
          <w:bCs/>
          <w:sz w:val="24"/>
          <w:szCs w:val="24"/>
        </w:rPr>
        <w:t xml:space="preserve"> O preço do combustível da rede credenciada não poderá ser superior ao preço máximo publicado no sistema de levantamento de preços da </w:t>
      </w:r>
      <w:r>
        <w:rPr>
          <w:rFonts w:ascii="Times New Roman" w:hAnsi="Times New Roman" w:cs="Arial"/>
          <w:b/>
          <w:bCs/>
          <w:sz w:val="24"/>
          <w:szCs w:val="24"/>
        </w:rPr>
        <w:t>ANP-Rondonópolis-MT</w:t>
      </w:r>
      <w:r>
        <w:rPr>
          <w:rFonts w:ascii="Times New Roman" w:hAnsi="Times New Roman" w:cs="Arial"/>
          <w:bCs/>
          <w:sz w:val="24"/>
          <w:szCs w:val="24"/>
        </w:rPr>
        <w:t>, para o período adquirido, conforme reiteradas decisões do TCU e do TCE/MT, como por exemplo, no Acórdão n.º 150/2019 - – Plenário e Julgamento Singular º 677/LCP/2020 do Processo 19.298-8/2020, respectivamente.</w:t>
      </w:r>
    </w:p>
    <w:p>
      <w:pPr>
        <w:spacing w:line="276" w:lineRule="auto"/>
        <w:jc w:val="both"/>
        <w:rPr>
          <w:rFonts w:ascii="Times New Roman" w:hAnsi="Times New Roman" w:cs="Arial"/>
          <w:bCs/>
          <w:sz w:val="24"/>
          <w:szCs w:val="24"/>
        </w:rPr>
      </w:pPr>
      <w:r>
        <w:rPr>
          <w:rFonts w:ascii="Times New Roman" w:hAnsi="Times New Roman" w:cs="Arial"/>
          <w:b/>
          <w:bCs/>
          <w:sz w:val="24"/>
          <w:szCs w:val="24"/>
        </w:rPr>
        <w:t xml:space="preserve">1.1.4. </w:t>
      </w:r>
      <w:r>
        <w:rPr>
          <w:rFonts w:ascii="Times New Roman" w:hAnsi="Times New Roman" w:cs="Arial"/>
          <w:bCs/>
          <w:sz w:val="24"/>
          <w:szCs w:val="24"/>
        </w:rPr>
        <w:t xml:space="preserve">O preço das peças e da prestação de serviços, contratados através da rede credenciada da empresa vencedora, não poderão ser superiores aos preços máximos praticados conforme pesquisa do </w:t>
      </w:r>
      <w:r>
        <w:rPr>
          <w:rFonts w:ascii="Times New Roman" w:hAnsi="Times New Roman" w:cs="Arial"/>
          <w:b/>
          <w:bCs/>
          <w:sz w:val="24"/>
          <w:szCs w:val="24"/>
        </w:rPr>
        <w:t>sistema RADAR</w:t>
      </w:r>
      <w:r>
        <w:rPr>
          <w:rFonts w:ascii="Times New Roman" w:hAnsi="Times New Roman" w:cs="Arial"/>
          <w:bCs/>
          <w:sz w:val="24"/>
          <w:szCs w:val="24"/>
        </w:rPr>
        <w:t xml:space="preserve"> para a região.</w:t>
      </w:r>
    </w:p>
    <w:p>
      <w:pPr>
        <w:spacing w:line="276" w:lineRule="auto"/>
        <w:jc w:val="both"/>
        <w:rPr>
          <w:rFonts w:ascii="Times New Roman" w:hAnsi="Times New Roman"/>
          <w:sz w:val="24"/>
          <w:szCs w:val="24"/>
        </w:rPr>
      </w:pPr>
      <w:r>
        <w:rPr>
          <w:rFonts w:ascii="Times New Roman" w:hAnsi="Times New Roman"/>
          <w:b/>
          <w:sz w:val="24"/>
          <w:szCs w:val="24"/>
        </w:rPr>
        <w:t xml:space="preserve">2. DA FROTA </w:t>
      </w:r>
    </w:p>
    <w:p>
      <w:pPr>
        <w:spacing w:line="276" w:lineRule="auto"/>
        <w:jc w:val="both"/>
        <w:rPr>
          <w:rFonts w:ascii="Times New Roman" w:hAnsi="Times New Roman"/>
          <w:sz w:val="24"/>
          <w:szCs w:val="24"/>
        </w:rPr>
      </w:pPr>
      <w:r>
        <w:rPr>
          <w:rFonts w:ascii="Times New Roman" w:hAnsi="Times New Roman"/>
          <w:b/>
          <w:sz w:val="24"/>
          <w:szCs w:val="24"/>
        </w:rPr>
        <w:t xml:space="preserve">2.1 </w:t>
      </w:r>
      <w:r>
        <w:rPr>
          <w:rFonts w:ascii="Times New Roman" w:hAnsi="Times New Roman"/>
          <w:sz w:val="24"/>
          <w:szCs w:val="24"/>
        </w:rPr>
        <w:t>Em janeiro de 2024, a frota de veículos da casa deste registro de preços prevista a ser abrangida pelos contratos a serem firmados são de 5 (cinco) veículos e 01 (uma) máquina de cortar grama, conforme segue:</w:t>
      </w:r>
    </w:p>
    <w:tbl>
      <w:tblPr>
        <w:tblStyle w:val="9"/>
        <w:tblW w:w="5000" w:type="pct"/>
        <w:tblInd w:w="55" w:type="dxa"/>
        <w:tblLayout w:type="fixed"/>
        <w:tblCellMar>
          <w:top w:w="55" w:type="dxa"/>
          <w:left w:w="55" w:type="dxa"/>
          <w:bottom w:w="55" w:type="dxa"/>
          <w:right w:w="55" w:type="dxa"/>
        </w:tblCellMar>
      </w:tblPr>
      <w:tblGrid>
        <w:gridCol w:w="6022"/>
        <w:gridCol w:w="3019"/>
      </w:tblGrid>
      <w:tr>
        <w:tblPrEx>
          <w:tblCellMar>
            <w:top w:w="55" w:type="dxa"/>
            <w:left w:w="55" w:type="dxa"/>
            <w:bottom w:w="55" w:type="dxa"/>
            <w:right w:w="55" w:type="dxa"/>
          </w:tblCellMar>
        </w:tblPrEx>
        <w:tc>
          <w:tcPr>
            <w:tcW w:w="5948" w:type="dxa"/>
            <w:tcBorders>
              <w:top w:val="single" w:color="000000" w:sz="4" w:space="0"/>
              <w:left w:val="single" w:color="000000" w:sz="4" w:space="0"/>
              <w:bottom w:val="single" w:color="000000" w:sz="4" w:space="0"/>
            </w:tcBorders>
          </w:tcPr>
          <w:p>
            <w:pPr>
              <w:pStyle w:val="168"/>
              <w:widowControl/>
              <w:suppressAutoHyphens/>
              <w:spacing w:before="0" w:after="200"/>
              <w:jc w:val="both"/>
              <w:rPr>
                <w:rFonts w:ascii="Times New Roman" w:hAnsi="Times New Roman"/>
                <w:b/>
                <w:bCs/>
                <w:sz w:val="24"/>
                <w:szCs w:val="24"/>
              </w:rPr>
            </w:pPr>
            <w:r>
              <w:rPr>
                <w:rFonts w:ascii="Times New Roman" w:hAnsi="Times New Roman" w:eastAsia="Calibri" w:cs="Times New Roman"/>
                <w:b/>
                <w:bCs/>
                <w:kern w:val="0"/>
                <w:sz w:val="24"/>
                <w:szCs w:val="24"/>
                <w:lang w:val="pt-BR" w:eastAsia="zh-CN" w:bidi="hi-IN"/>
              </w:rPr>
              <w:t>Veículo</w:t>
            </w:r>
          </w:p>
        </w:tc>
        <w:tc>
          <w:tcPr>
            <w:tcW w:w="2982" w:type="dxa"/>
            <w:tcBorders>
              <w:top w:val="single" w:color="000000" w:sz="4" w:space="0"/>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b/>
                <w:bCs/>
                <w:sz w:val="24"/>
                <w:szCs w:val="24"/>
              </w:rPr>
            </w:pPr>
            <w:r>
              <w:rPr>
                <w:rFonts w:ascii="Times New Roman" w:hAnsi="Times New Roman" w:eastAsia="Calibri" w:cs="Times New Roman"/>
                <w:b/>
                <w:bCs/>
                <w:kern w:val="0"/>
                <w:sz w:val="24"/>
                <w:szCs w:val="24"/>
                <w:lang w:val="pt-BR" w:eastAsia="zh-CN" w:bidi="hi-IN"/>
              </w:rPr>
              <w:t>Combustível</w:t>
            </w:r>
          </w:p>
        </w:tc>
      </w:tr>
      <w:tr>
        <w:tblPrEx>
          <w:tblCellMar>
            <w:top w:w="55" w:type="dxa"/>
            <w:left w:w="55" w:type="dxa"/>
            <w:bottom w:w="55" w:type="dxa"/>
            <w:right w:w="55" w:type="dxa"/>
          </w:tblCellMar>
        </w:tblPrEx>
        <w:tc>
          <w:tcPr>
            <w:tcW w:w="5948"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S-10 LT FLEX 2016</w:t>
            </w:r>
          </w:p>
        </w:tc>
        <w:tc>
          <w:tcPr>
            <w:tcW w:w="2982"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FLEX</w:t>
            </w:r>
          </w:p>
        </w:tc>
      </w:tr>
      <w:tr>
        <w:tblPrEx>
          <w:tblCellMar>
            <w:top w:w="55" w:type="dxa"/>
            <w:left w:w="55" w:type="dxa"/>
            <w:bottom w:w="55" w:type="dxa"/>
            <w:right w:w="55" w:type="dxa"/>
          </w:tblCellMar>
        </w:tblPrEx>
        <w:tc>
          <w:tcPr>
            <w:tcW w:w="5948"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SANDERO 1.6 2020</w:t>
            </w:r>
          </w:p>
        </w:tc>
        <w:tc>
          <w:tcPr>
            <w:tcW w:w="2982"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FLEX</w:t>
            </w:r>
          </w:p>
        </w:tc>
      </w:tr>
      <w:tr>
        <w:tblPrEx>
          <w:tblCellMar>
            <w:top w:w="55" w:type="dxa"/>
            <w:left w:w="55" w:type="dxa"/>
            <w:bottom w:w="55" w:type="dxa"/>
            <w:right w:w="55" w:type="dxa"/>
          </w:tblCellMar>
        </w:tblPrEx>
        <w:tc>
          <w:tcPr>
            <w:tcW w:w="5948"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JETTA 1.4 2021</w:t>
            </w:r>
          </w:p>
        </w:tc>
        <w:tc>
          <w:tcPr>
            <w:tcW w:w="2982"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FLEX</w:t>
            </w:r>
          </w:p>
        </w:tc>
      </w:tr>
      <w:tr>
        <w:tblPrEx>
          <w:tblCellMar>
            <w:top w:w="55" w:type="dxa"/>
            <w:left w:w="55" w:type="dxa"/>
            <w:bottom w:w="55" w:type="dxa"/>
            <w:right w:w="55" w:type="dxa"/>
          </w:tblCellMar>
        </w:tblPrEx>
        <w:tc>
          <w:tcPr>
            <w:tcW w:w="5948"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COMMANDER 2024</w:t>
            </w:r>
          </w:p>
        </w:tc>
        <w:tc>
          <w:tcPr>
            <w:tcW w:w="2982"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FLEX</w:t>
            </w:r>
          </w:p>
        </w:tc>
      </w:tr>
      <w:tr>
        <w:tc>
          <w:tcPr>
            <w:tcW w:w="5948"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S-10 2024</w:t>
            </w:r>
          </w:p>
        </w:tc>
        <w:tc>
          <w:tcPr>
            <w:tcW w:w="2982"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DIESEL</w:t>
            </w:r>
          </w:p>
        </w:tc>
      </w:tr>
      <w:tr>
        <w:tblPrEx>
          <w:tblCellMar>
            <w:top w:w="55" w:type="dxa"/>
            <w:left w:w="55" w:type="dxa"/>
            <w:bottom w:w="55" w:type="dxa"/>
            <w:right w:w="55" w:type="dxa"/>
          </w:tblCellMar>
        </w:tblPrEx>
        <w:tc>
          <w:tcPr>
            <w:tcW w:w="5948" w:type="dxa"/>
            <w:tcBorders>
              <w:left w:val="single" w:color="000000" w:sz="4" w:space="0"/>
              <w:bottom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MAQUINA CORTAR GRAMA</w:t>
            </w:r>
          </w:p>
        </w:tc>
        <w:tc>
          <w:tcPr>
            <w:tcW w:w="2982" w:type="dxa"/>
            <w:tcBorders>
              <w:left w:val="single" w:color="000000" w:sz="4" w:space="0"/>
              <w:bottom w:val="single" w:color="000000" w:sz="4" w:space="0"/>
              <w:right w:val="single" w:color="000000" w:sz="4" w:space="0"/>
            </w:tcBorders>
          </w:tcPr>
          <w:p>
            <w:pPr>
              <w:pStyle w:val="168"/>
              <w:widowControl/>
              <w:suppressAutoHyphens/>
              <w:spacing w:before="0" w:after="200"/>
              <w:jc w:val="both"/>
              <w:rPr>
                <w:rFonts w:ascii="Times New Roman" w:hAnsi="Times New Roman"/>
                <w:sz w:val="24"/>
                <w:szCs w:val="24"/>
              </w:rPr>
            </w:pPr>
            <w:r>
              <w:rPr>
                <w:rFonts w:ascii="Times New Roman" w:hAnsi="Times New Roman" w:eastAsia="Calibri" w:cs="Times New Roman"/>
                <w:kern w:val="0"/>
                <w:sz w:val="24"/>
                <w:szCs w:val="24"/>
                <w:lang w:val="pt-BR" w:eastAsia="zh-CN" w:bidi="hi-IN"/>
              </w:rPr>
              <w:t>GASOLINA</w:t>
            </w:r>
          </w:p>
        </w:tc>
      </w:tr>
    </w:tbl>
    <w:p>
      <w:pPr>
        <w:spacing w:line="276" w:lineRule="auto"/>
        <w:jc w:val="both"/>
        <w:rPr>
          <w:rFonts w:ascii="Times New Roman" w:hAnsi="Times New Roman"/>
          <w:sz w:val="24"/>
          <w:szCs w:val="24"/>
        </w:rPr>
      </w:pPr>
    </w:p>
    <w:p>
      <w:pPr>
        <w:spacing w:line="276" w:lineRule="auto"/>
        <w:jc w:val="both"/>
        <w:rPr>
          <w:rFonts w:ascii="Times New Roman" w:hAnsi="Times New Roman"/>
          <w:sz w:val="24"/>
          <w:szCs w:val="24"/>
        </w:rPr>
      </w:pPr>
      <w:r>
        <w:rPr>
          <w:rFonts w:ascii="Times New Roman" w:hAnsi="Times New Roman"/>
          <w:b/>
          <w:bCs/>
          <w:sz w:val="24"/>
          <w:szCs w:val="24"/>
        </w:rPr>
        <w:t>2.2.</w:t>
      </w:r>
      <w:r>
        <w:rPr>
          <w:rFonts w:ascii="Times New Roman" w:hAnsi="Times New Roman"/>
          <w:sz w:val="24"/>
          <w:szCs w:val="24"/>
        </w:rPr>
        <w:t xml:space="preserve"> Os serviços deverão atender a toda demanda da frota de veículos da Câmara Municipal de Primavera do Leste-MT, conforme a relação dos mesmos, que poderá sofrer alterações da execução contratual e a substituição ou incorporação de veículos à frota em nada altera as condições estabelecidas na contratação dos serviços, uma vez que para a CONTRATADA a inclusão de veículos não causa decréscimo em sua remuneração, sendo que tal fato não poderá onerar a taxa de administração.</w:t>
      </w:r>
    </w:p>
    <w:p>
      <w:pPr>
        <w:spacing w:line="276" w:lineRule="auto"/>
        <w:jc w:val="both"/>
        <w:rPr>
          <w:b/>
          <w:bCs/>
        </w:rPr>
      </w:pPr>
    </w:p>
    <w:p>
      <w:pPr>
        <w:spacing w:line="276" w:lineRule="auto"/>
        <w:jc w:val="both"/>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w:t>
      </w:r>
      <w:r>
        <w:rPr>
          <w:rFonts w:ascii="Times New Roman" w:hAnsi="Times New Roman"/>
          <w:b/>
          <w:sz w:val="24"/>
          <w:szCs w:val="24"/>
        </w:rPr>
        <w:t>OBJETIVO DA CONTRATAÇÃO:</w:t>
      </w:r>
    </w:p>
    <w:p>
      <w:pPr>
        <w:spacing w:line="276" w:lineRule="auto"/>
        <w:jc w:val="both"/>
        <w:rPr>
          <w:rFonts w:ascii="Times New Roman" w:hAnsi="Times New Roman"/>
          <w:sz w:val="24"/>
          <w:szCs w:val="24"/>
        </w:rPr>
      </w:pPr>
      <w:r>
        <w:rPr>
          <w:rFonts w:ascii="Times New Roman" w:hAnsi="Times New Roman"/>
          <w:sz w:val="24"/>
          <w:szCs w:val="24"/>
        </w:rPr>
        <w:t>3.1. A solução a ser contratada visa atingir os seguintes objetivos:</w:t>
      </w:r>
    </w:p>
    <w:p>
      <w:pPr>
        <w:spacing w:line="276" w:lineRule="auto"/>
        <w:jc w:val="both"/>
        <w:rPr>
          <w:rFonts w:ascii="Times New Roman" w:hAnsi="Times New Roman"/>
          <w:sz w:val="24"/>
          <w:szCs w:val="24"/>
        </w:rPr>
      </w:pPr>
      <w:r>
        <w:rPr>
          <w:rFonts w:ascii="Times New Roman" w:hAnsi="Times New Roman"/>
          <w:sz w:val="24"/>
          <w:szCs w:val="24"/>
        </w:rPr>
        <w:t>3.1.1. Flexibilidade do sistema de abastecimento, facilitando o acesso a uma rede ampla;</w:t>
      </w:r>
    </w:p>
    <w:p>
      <w:pPr>
        <w:spacing w:line="276" w:lineRule="auto"/>
        <w:jc w:val="both"/>
        <w:rPr>
          <w:rFonts w:ascii="Times New Roman" w:hAnsi="Times New Roman"/>
          <w:sz w:val="24"/>
          <w:szCs w:val="24"/>
        </w:rPr>
      </w:pPr>
      <w:r>
        <w:rPr>
          <w:rFonts w:ascii="Times New Roman" w:hAnsi="Times New Roman"/>
          <w:sz w:val="24"/>
          <w:szCs w:val="24"/>
        </w:rPr>
        <w:t>3.1.2. Simplificação dos procedimentos e das rotinas de controle dos abastecimentos, permanecendo o sistema informatizado, proporcionando agilidade nos procedimentos, obtenção de informações da frota em tempo hábil, via Internet, para tomada de decisões coletivas;</w:t>
      </w:r>
    </w:p>
    <w:p>
      <w:pPr>
        <w:spacing w:line="276" w:lineRule="auto"/>
        <w:jc w:val="both"/>
        <w:rPr>
          <w:rFonts w:ascii="Times New Roman" w:hAnsi="Times New Roman"/>
          <w:sz w:val="24"/>
          <w:szCs w:val="24"/>
        </w:rPr>
      </w:pPr>
      <w:r>
        <w:rPr>
          <w:rFonts w:ascii="Times New Roman" w:hAnsi="Times New Roman"/>
          <w:sz w:val="24"/>
          <w:szCs w:val="24"/>
        </w:rPr>
        <w:t>3.1.3. Simplificar o controle de gastos com manutenção corretiva e preventiva de veículos;</w:t>
      </w:r>
    </w:p>
    <w:p>
      <w:pPr>
        <w:spacing w:line="276" w:lineRule="auto"/>
        <w:jc w:val="both"/>
        <w:rPr>
          <w:rFonts w:ascii="Times New Roman" w:hAnsi="Times New Roman"/>
          <w:sz w:val="24"/>
          <w:szCs w:val="24"/>
        </w:rPr>
      </w:pPr>
      <w:r>
        <w:rPr>
          <w:rFonts w:ascii="Times New Roman" w:hAnsi="Times New Roman"/>
          <w:sz w:val="24"/>
          <w:szCs w:val="24"/>
        </w:rPr>
        <w:t xml:space="preserve">3.1.4. Conservação e bom uso do patrimônio público; </w:t>
      </w:r>
    </w:p>
    <w:p>
      <w:pPr>
        <w:spacing w:line="276" w:lineRule="auto"/>
        <w:jc w:val="both"/>
        <w:rPr>
          <w:rFonts w:ascii="Times New Roman" w:hAnsi="Times New Roman"/>
          <w:sz w:val="24"/>
          <w:szCs w:val="24"/>
        </w:rPr>
      </w:pPr>
      <w:r>
        <w:rPr>
          <w:rFonts w:ascii="Times New Roman" w:hAnsi="Times New Roman"/>
          <w:sz w:val="24"/>
          <w:szCs w:val="24"/>
        </w:rPr>
        <w:t>3.1.5. Modernização dos controles, precisão das informações e redução do tempo de compilação e análise de dados;</w:t>
      </w:r>
    </w:p>
    <w:p>
      <w:pPr>
        <w:spacing w:line="276" w:lineRule="auto"/>
        <w:jc w:val="both"/>
        <w:rPr>
          <w:rFonts w:ascii="Times New Roman" w:hAnsi="Times New Roman"/>
          <w:sz w:val="24"/>
          <w:szCs w:val="24"/>
        </w:rPr>
      </w:pPr>
      <w:r>
        <w:rPr>
          <w:rFonts w:ascii="Times New Roman" w:hAnsi="Times New Roman"/>
          <w:sz w:val="24"/>
          <w:szCs w:val="24"/>
        </w:rPr>
        <w:t>3.1.6. Evolução e consonância com a visão de futuro da organização na modernidade e eficiência no cumprimento de suas atribuições, pretende-se adotar essa contratação com importante instrumento gerencial e operacional;</w:t>
      </w:r>
    </w:p>
    <w:p>
      <w:pPr>
        <w:spacing w:line="276" w:lineRule="auto"/>
        <w:jc w:val="both"/>
        <w:rPr>
          <w:rFonts w:ascii="Times New Roman" w:hAnsi="Times New Roman"/>
          <w:sz w:val="24"/>
          <w:szCs w:val="24"/>
        </w:rPr>
      </w:pPr>
      <w:r>
        <w:rPr>
          <w:rFonts w:ascii="Times New Roman" w:hAnsi="Times New Roman"/>
          <w:sz w:val="24"/>
          <w:szCs w:val="24"/>
        </w:rPr>
        <w:t>3.1.7. Otimização da Aplicação de recursos Públicos</w:t>
      </w:r>
    </w:p>
    <w:p>
      <w:pPr>
        <w:spacing w:line="276" w:lineRule="auto"/>
        <w:jc w:val="both"/>
        <w:rPr>
          <w:rFonts w:ascii="Times New Roman" w:hAnsi="Times New Roman"/>
          <w:sz w:val="24"/>
          <w:szCs w:val="24"/>
        </w:rPr>
      </w:pPr>
      <w:r>
        <w:rPr>
          <w:rFonts w:ascii="Times New Roman" w:hAnsi="Times New Roman"/>
          <w:sz w:val="24"/>
          <w:szCs w:val="24"/>
        </w:rPr>
        <w:t>3.1.8. Maior distribuição de renda com credenciamento de um maior número de fornecedores possíveis a administração pública;</w:t>
      </w:r>
    </w:p>
    <w:p>
      <w:pPr>
        <w:spacing w:line="276" w:lineRule="auto"/>
        <w:jc w:val="both"/>
        <w:rPr>
          <w:rFonts w:ascii="Times New Roman" w:hAnsi="Times New Roman"/>
          <w:sz w:val="24"/>
          <w:szCs w:val="24"/>
        </w:rPr>
      </w:pPr>
      <w:r>
        <w:rPr>
          <w:rFonts w:ascii="Times New Roman" w:hAnsi="Times New Roman"/>
          <w:sz w:val="24"/>
          <w:szCs w:val="24"/>
        </w:rPr>
        <w:t>3.1.9. Aplicação de princípios de economicidade e eficiência;</w:t>
      </w:r>
    </w:p>
    <w:p>
      <w:pPr>
        <w:spacing w:line="276" w:lineRule="auto"/>
        <w:jc w:val="both"/>
        <w:rPr>
          <w:rFonts w:ascii="Times New Roman" w:hAnsi="Times New Roman"/>
          <w:b/>
          <w:sz w:val="24"/>
          <w:szCs w:val="24"/>
        </w:rPr>
      </w:pPr>
    </w:p>
    <w:p>
      <w:pPr>
        <w:spacing w:line="276" w:lineRule="auto"/>
        <w:jc w:val="both"/>
        <w:rPr>
          <w:rFonts w:ascii="Times New Roman" w:hAnsi="Times New Roman"/>
          <w:b/>
          <w:sz w:val="24"/>
          <w:szCs w:val="24"/>
        </w:rPr>
      </w:pPr>
      <w:r>
        <w:rPr>
          <w:rFonts w:ascii="Times New Roman" w:hAnsi="Times New Roman"/>
          <w:b/>
          <w:sz w:val="24"/>
          <w:szCs w:val="24"/>
        </w:rPr>
        <w:t>4. JUSTIFICATIVA:</w:t>
      </w:r>
    </w:p>
    <w:p>
      <w:pPr>
        <w:spacing w:line="276" w:lineRule="auto"/>
        <w:jc w:val="both"/>
        <w:rPr>
          <w:rFonts w:ascii="Times New Roman" w:hAnsi="Times New Roman"/>
          <w:sz w:val="24"/>
          <w:szCs w:val="24"/>
        </w:rPr>
      </w:pPr>
      <w:r>
        <w:rPr>
          <w:rFonts w:ascii="Times New Roman" w:hAnsi="Times New Roman"/>
          <w:sz w:val="24"/>
          <w:szCs w:val="24"/>
        </w:rPr>
        <w:t>4.1. A presente licitação tem como objetivo promover a otimização e  homogeneização do abastecimento contínuo dos veículos e a sua manutenção sendo ela corretiva ou preventiva, e as peças a serem utilizadas devem ser originais e genuínas de primeiro uso para boa conservação da frota, da Câmara Municipal de Primavera do Leste-MT, que atendem as demandas das atividades legislativas e administrativas, no transporte de vereadores bem como de seus assessores a outros municípios, e ainda o envio de documentos oficiais a órgãos fiscalizadores.</w:t>
      </w:r>
    </w:p>
    <w:p>
      <w:pPr>
        <w:spacing w:line="276" w:lineRule="auto"/>
        <w:ind w:left="0" w:right="0" w:firstLine="0"/>
        <w:jc w:val="both"/>
        <w:rPr>
          <w:rFonts w:ascii="Times New Roman" w:hAnsi="Times New Roman"/>
          <w:sz w:val="24"/>
          <w:szCs w:val="24"/>
        </w:rPr>
      </w:pPr>
      <w:r>
        <w:rPr>
          <w:rFonts w:ascii="Times New Roman" w:hAnsi="Times New Roman"/>
          <w:sz w:val="24"/>
          <w:szCs w:val="24"/>
        </w:rPr>
        <w:t>4.2. Depreende-se, portanto, que ainda seja regra o parcelamento das soluções a serem contratadas, essa não absoluta, visto que a eventual divisão do objeto por itens pode acarretar prejuízo para o conjunto da solução, especialmente com a perda de economia de escala.</w:t>
      </w:r>
    </w:p>
    <w:p>
      <w:pPr>
        <w:spacing w:line="276" w:lineRule="auto"/>
        <w:ind w:left="0" w:right="0" w:firstLine="0"/>
        <w:jc w:val="both"/>
        <w:rPr>
          <w:rFonts w:ascii="Times New Roman" w:hAnsi="Times New Roman"/>
          <w:sz w:val="24"/>
          <w:szCs w:val="24"/>
        </w:rPr>
      </w:pPr>
      <w:r>
        <w:rPr>
          <w:rFonts w:ascii="Times New Roman" w:hAnsi="Times New Roman"/>
          <w:sz w:val="24"/>
          <w:szCs w:val="24"/>
        </w:rPr>
        <w:t>4.3. Válido seria aqui ressaltarmos que, o foco principal do acordo firmado, é a contratação de empresa para a prestação de serviço de administração e gerenciamento informatizado para fornecimento de combustíveis e lubrificantes, bem como serviços e acessórios multimarcas, através de redes de estabelecimentos credenciados pela contratada, com implantação e operação de cartão eletrônico com chip (tipo smart) ou cartão com tarja magnética, atendendo as necessidades da Câmara Municipal de Primavera do Leste-MT.</w:t>
      </w:r>
    </w:p>
    <w:p>
      <w:pPr>
        <w:spacing w:line="276" w:lineRule="auto"/>
        <w:ind w:left="0" w:right="0" w:firstLine="0"/>
        <w:jc w:val="both"/>
        <w:rPr>
          <w:rFonts w:ascii="Times New Roman" w:hAnsi="Times New Roman"/>
          <w:sz w:val="24"/>
          <w:szCs w:val="24"/>
        </w:rPr>
      </w:pPr>
      <w:r>
        <w:rPr>
          <w:rFonts w:ascii="Times New Roman" w:hAnsi="Times New Roman"/>
          <w:sz w:val="24"/>
          <w:szCs w:val="24"/>
        </w:rPr>
        <w:t>4.4. É fato que os serviços podem ser executados por várias empresas, porém, para a Administração Legislativa, não apenas o fornecimento isolado de combustíveis ou a prestação de serviços de manutenção preventiva e corretiva sem a solução tecnológica integrada permite o Órgão ter a efetiva gestão de custo de cada veículo em uma única ferramenta.</w:t>
      </w:r>
    </w:p>
    <w:p>
      <w:pPr>
        <w:spacing w:line="276" w:lineRule="auto"/>
        <w:ind w:left="0" w:right="0" w:firstLine="0"/>
        <w:jc w:val="both"/>
        <w:rPr>
          <w:rFonts w:ascii="Times New Roman" w:hAnsi="Times New Roman"/>
          <w:sz w:val="24"/>
          <w:szCs w:val="24"/>
        </w:rPr>
      </w:pPr>
      <w:r>
        <w:rPr>
          <w:rFonts w:ascii="Times New Roman" w:hAnsi="Times New Roman"/>
          <w:sz w:val="24"/>
          <w:szCs w:val="24"/>
        </w:rPr>
        <w:t>4.5. Como exemplo, tem-se que se for contratada uma empresa para cada tipo de serviço/fornecimento, sem a devida gestão integrada, cada veículo/equipamento da Câmara Municipal teria que ter diversos “chips” e contratos para atingir a finalidade de integração, gerando a necessidade de maior esforço de mão de obra da Administração com a gestão de contratos, sistemas das contratadas, fiscalização e pagamentos, bem como na geração de relatórios para o sistema APLIC do Tribunal de Contas do Estado, de forma isolada.</w:t>
      </w:r>
    </w:p>
    <w:p>
      <w:pPr>
        <w:spacing w:line="276" w:lineRule="auto"/>
        <w:ind w:left="0" w:right="0" w:firstLine="0"/>
        <w:jc w:val="both"/>
        <w:rPr>
          <w:rFonts w:ascii="Times New Roman" w:hAnsi="Times New Roman"/>
          <w:sz w:val="24"/>
          <w:szCs w:val="24"/>
        </w:rPr>
      </w:pPr>
      <w:r>
        <w:rPr>
          <w:rFonts w:ascii="Times New Roman" w:hAnsi="Times New Roman"/>
          <w:sz w:val="24"/>
          <w:szCs w:val="24"/>
        </w:rPr>
        <w:t>4.6. Ocorre que, a experiência operacional, no âmbito deste Município, já demonstrou que a não integração gera retrabalho da equipe de servidores para realizarem lançamentos manuais, com a ocupação de um servidor para cada sistema de funções, tendo que cadastrar veículos, condutores, empenhos duas, três vezes.</w:t>
      </w:r>
    </w:p>
    <w:p>
      <w:pPr>
        <w:spacing w:line="276" w:lineRule="auto"/>
        <w:ind w:left="0" w:right="0" w:firstLine="0"/>
        <w:jc w:val="both"/>
        <w:rPr>
          <w:rFonts w:ascii="Times New Roman" w:hAnsi="Times New Roman"/>
          <w:sz w:val="24"/>
          <w:szCs w:val="24"/>
        </w:rPr>
      </w:pPr>
      <w:r>
        <w:rPr>
          <w:rFonts w:ascii="Times New Roman" w:hAnsi="Times New Roman"/>
          <w:sz w:val="24"/>
          <w:szCs w:val="24"/>
        </w:rPr>
        <w:t>4.7. De igual forma, a experiência de gestão, no âmbito desta casa, já demonstrou que gerindo a frota de veículos e equipamentos de forma “dispersa” não se consegue ter um relatório de gestão que permita a tomada de decisões, pois para realizar relatórios dos gastos totais de um veículo, confrontando os custos de manutenção com os de combustível, com sua produtividade “deslocamento ou horas trabalhadas” teria que se realizar manualmente, pegando de cada sistema informações para reuni-las. Isso gera muito trabalho e esforço sendo inviável sua realização, bem como tem um grande risco de se perder informações por erro ou outras situações, tornando os relatórios inseguros.</w:t>
      </w:r>
    </w:p>
    <w:p>
      <w:pPr>
        <w:spacing w:line="276" w:lineRule="auto"/>
        <w:ind w:left="0" w:right="0" w:firstLine="0"/>
        <w:jc w:val="both"/>
        <w:rPr>
          <w:rFonts w:ascii="Times New Roman" w:hAnsi="Times New Roman"/>
          <w:sz w:val="24"/>
          <w:szCs w:val="24"/>
        </w:rPr>
      </w:pPr>
      <w:r>
        <w:rPr>
          <w:rFonts w:ascii="Times New Roman" w:hAnsi="Times New Roman"/>
          <w:sz w:val="24"/>
          <w:szCs w:val="24"/>
        </w:rPr>
        <w:t>4.8. É notório que tais situações comprometem a gestão de frotas, e por consequência, a transparência e o controle interno e externo, pois a ausência de gestão integrada é prejudicial a qualidade do serviço prestado e de gestão.</w:t>
      </w:r>
    </w:p>
    <w:p>
      <w:pPr>
        <w:spacing w:line="276" w:lineRule="auto"/>
        <w:ind w:left="0" w:right="0" w:firstLine="0"/>
        <w:jc w:val="both"/>
        <w:rPr>
          <w:rFonts w:ascii="Times New Roman" w:hAnsi="Times New Roman"/>
          <w:sz w:val="24"/>
          <w:szCs w:val="24"/>
        </w:rPr>
      </w:pPr>
      <w:r>
        <w:rPr>
          <w:rFonts w:ascii="Times New Roman" w:hAnsi="Times New Roman"/>
          <w:sz w:val="24"/>
          <w:szCs w:val="24"/>
        </w:rPr>
        <w:t xml:space="preserve">4.9. Devemos aqui relatar que, a experiência havida de Órgãos de outros Municípios demonstra ser mais adequado e eficiente que a contratação pretendida seja selecionada através de procedimento licitatório constituído em item único, qual seja: </w:t>
      </w:r>
      <w:r>
        <w:rPr>
          <w:rFonts w:ascii="Times New Roman" w:hAnsi="Times New Roman"/>
          <w:b/>
          <w:bCs/>
          <w:sz w:val="24"/>
          <w:szCs w:val="24"/>
        </w:rPr>
        <w:t xml:space="preserve">“contratação de empresa para a prestação de serviços de administração e gerenciamento informatizado para fornecimento de combustíveis e lubrificantes, bem como serviços e manutenções preventiva e corretiva de veículos com o fornecimento de peças e acessórios multimarcas </w:t>
      </w:r>
      <w:r>
        <w:rPr>
          <w:rFonts w:ascii="Times New Roman" w:hAnsi="Times New Roman"/>
          <w:sz w:val="24"/>
          <w:szCs w:val="24"/>
        </w:rPr>
        <w:t>através de redes de estabelecimentos credenciados pela contratada, com implantação de operação de sistema informatizado e integrado para gestão da frota, com tecnologia de cartão eletrônico com chip (tipo smart) ou cartão com tarja magnética,  atendendo de tal maneira, as necessidades da Câmara Municipal de Primavera do Leste-MT, de sorte que apenas uma empresa vença a licitação, solução que se pretende proceder pra que tudo funcione perfeitamente e em completa harmonia e interligação, de forma que atenda a Administração em sua totalidade, garantindo a eficiência e atendimento ao interesse público.</w:t>
      </w:r>
    </w:p>
    <w:p>
      <w:pPr>
        <w:spacing w:line="276" w:lineRule="auto"/>
        <w:ind w:left="0" w:right="0" w:firstLine="0"/>
        <w:jc w:val="both"/>
        <w:rPr>
          <w:rFonts w:ascii="Times New Roman" w:hAnsi="Times New Roman"/>
          <w:sz w:val="24"/>
          <w:szCs w:val="24"/>
        </w:rPr>
      </w:pPr>
      <w:r>
        <w:rPr>
          <w:rFonts w:ascii="Times New Roman" w:hAnsi="Times New Roman"/>
          <w:sz w:val="24"/>
          <w:szCs w:val="24"/>
        </w:rPr>
        <w:t xml:space="preserve">4.10. A </w:t>
      </w:r>
      <w:r>
        <w:rPr>
          <w:rFonts w:ascii="Times New Roman" w:hAnsi="Times New Roman"/>
          <w:b/>
          <w:bCs/>
          <w:sz w:val="24"/>
          <w:szCs w:val="24"/>
        </w:rPr>
        <w:t>eficiência</w:t>
      </w:r>
      <w:r>
        <w:rPr>
          <w:rFonts w:ascii="Times New Roman" w:hAnsi="Times New Roman"/>
          <w:sz w:val="24"/>
          <w:szCs w:val="24"/>
        </w:rPr>
        <w:t xml:space="preserve"> é um dos princípios basilares da administração pública, assim estabelece o </w:t>
      </w:r>
      <w:r>
        <w:rPr>
          <w:rFonts w:ascii="Times New Roman" w:hAnsi="Times New Roman"/>
          <w:b/>
          <w:bCs/>
          <w:sz w:val="24"/>
          <w:szCs w:val="24"/>
        </w:rPr>
        <w:t>artigo 37 da CF/88</w:t>
      </w:r>
      <w:r>
        <w:rPr>
          <w:rFonts w:ascii="Times New Roman" w:hAnsi="Times New Roman"/>
          <w:sz w:val="24"/>
          <w:szCs w:val="24"/>
        </w:rPr>
        <w:t>,  e que se demonstra nesse modelo de gestão para se evitar retrabalhos, bem como, a burocrática rotina administrativa, pelas normas que devem serem  observadas, uma vez que, a gestão por módulos separados geraria demandas desnecessárias, fazendo com que a  gestão desta casa à mercê de um modelo ineficiente e atrasado em relação a iniciativa privada.</w:t>
      </w:r>
    </w:p>
    <w:p>
      <w:pPr>
        <w:spacing w:before="0" w:after="120" w:line="276" w:lineRule="auto"/>
        <w:ind w:left="0" w:right="0" w:firstLine="0"/>
        <w:jc w:val="both"/>
        <w:rPr>
          <w:rFonts w:ascii="Times New Roman" w:hAnsi="Times New Roman"/>
          <w:sz w:val="24"/>
          <w:szCs w:val="24"/>
        </w:rPr>
      </w:pPr>
      <w:r>
        <w:rPr>
          <w:rFonts w:ascii="Times New Roman" w:hAnsi="Times New Roman" w:cs="Calibri"/>
          <w:sz w:val="24"/>
          <w:szCs w:val="24"/>
        </w:rPr>
        <w:t xml:space="preserve">4.11. Destarte, sem prejuízo da viabilidade técnica e econômica da licitação, ou perda de escala ou detrimento do melhor aproveitamento do mercado e ampliação da competitividade, o serviço será contratado em item único, consistente na “contratação de empresa para a prestação de serviço de administração e gerenciamento informatizado para fornecimento de combustíveis  e lubrificantes, bem como serviços de manutenção preventiva e corretiva de veículos com o fornecimento de peças e acessórios multimarcas, através de redes de estabelecimentos credenciados pela contratada, com implantação e operação de sistema informatizado e integrado para gestão da frota, com tecnologia de cartão eletrônico com chip (tipo smart) ou cartão com tarja magnética, e atendendo as necessidades do município de Primavera do Leste - MT”. </w:t>
      </w:r>
    </w:p>
    <w:p>
      <w:pPr>
        <w:spacing w:before="0" w:after="120" w:line="276" w:lineRule="auto"/>
        <w:jc w:val="both"/>
        <w:rPr>
          <w:rFonts w:ascii="Times New Roman" w:hAnsi="Times New Roman" w:cs="Calibri"/>
          <w:sz w:val="24"/>
          <w:szCs w:val="24"/>
        </w:rPr>
      </w:pPr>
      <w:r>
        <w:rPr>
          <w:rFonts w:ascii="Times New Roman" w:hAnsi="Times New Roman" w:cs="Calibri"/>
          <w:sz w:val="24"/>
          <w:szCs w:val="24"/>
        </w:rPr>
        <w:t>4.12. Vislumbra-se, em simples pesquisa na internet e no sistema Radar, mantido pelo Tribunal de Contas do Estado, que o objeto a ser licitado de forma integrada não restringirá a competitividade haja vista a existência de diversas empresas que atuam no ramo a ser licitado.</w:t>
      </w:r>
    </w:p>
    <w:p>
      <w:pPr>
        <w:spacing w:before="0" w:after="120" w:line="276" w:lineRule="auto"/>
        <w:jc w:val="both"/>
        <w:rPr>
          <w:rFonts w:ascii="Times New Roman" w:hAnsi="Times New Roman" w:cs="Calibri"/>
          <w:sz w:val="24"/>
          <w:szCs w:val="24"/>
        </w:rPr>
      </w:pPr>
      <w:r>
        <w:rPr>
          <w:rFonts w:ascii="Times New Roman" w:hAnsi="Times New Roman" w:cs="Calibri"/>
          <w:sz w:val="24"/>
          <w:szCs w:val="24"/>
        </w:rPr>
        <w:t>4.13. A contratação do serviço de gerenciamento com fornecimento de materiais trará como vantagem:</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 xml:space="preserve">4.13.1. a flexibilização no sistema de manutenções adequadas a serem realizadas nos veículos; </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 xml:space="preserve">4.13.2. a obtenção de informações de toda frota em tempo real para tomada de decisões e relatórios gerenciais; </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 xml:space="preserve">4.13.3. agilidade nos procedimentos de manutenções, com prazo para execução dos serviços; </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4.13.4. redução de despesas operacionais e administrativas do Município;</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 xml:space="preserve">4.13.5. gerenciamento de todas as manutenções veiculares e equipamentos através de processo único; </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4.13.6 .centralização de toda a atividade relativa à frota municipal buscando melhor qualidade nos serviços realizados;</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4.13.7. transparência na gestão e negociação com a rede credenciada pela CONTRATADA, com informações disponibilizadas no site;</w:t>
      </w:r>
    </w:p>
    <w:p>
      <w:pPr>
        <w:spacing w:before="0" w:after="120" w:line="276" w:lineRule="auto"/>
        <w:ind w:left="0" w:right="0" w:firstLine="0"/>
        <w:jc w:val="both"/>
        <w:rPr>
          <w:rFonts w:ascii="Times New Roman" w:hAnsi="Times New Roman" w:cs="Calibri"/>
          <w:sz w:val="24"/>
          <w:szCs w:val="24"/>
        </w:rPr>
      </w:pPr>
      <w:r>
        <w:rPr>
          <w:rFonts w:ascii="Times New Roman" w:hAnsi="Times New Roman" w:cs="Calibri"/>
          <w:sz w:val="24"/>
          <w:szCs w:val="24"/>
        </w:rPr>
        <w:t>4.13.8. controle efetivo das rotas realizadas pela frota;</w:t>
      </w:r>
    </w:p>
    <w:p>
      <w:pPr>
        <w:spacing w:before="0" w:after="120" w:line="276" w:lineRule="auto"/>
        <w:ind w:left="0" w:right="0" w:firstLine="0"/>
        <w:jc w:val="both"/>
        <w:rPr>
          <w:rFonts w:ascii="Times New Roman" w:hAnsi="Times New Roman" w:cs="Calibri"/>
          <w:sz w:val="24"/>
          <w:szCs w:val="24"/>
        </w:rPr>
      </w:pPr>
    </w:p>
    <w:p>
      <w:pPr>
        <w:spacing w:before="0" w:after="120" w:line="276" w:lineRule="auto"/>
        <w:ind w:left="0" w:right="0" w:firstLine="0"/>
        <w:jc w:val="both"/>
        <w:rPr>
          <w:rFonts w:ascii="Times New Roman" w:hAnsi="Times New Roman" w:cs="Calibri"/>
          <w:sz w:val="24"/>
          <w:szCs w:val="24"/>
        </w:rPr>
      </w:pPr>
      <w:r>
        <w:rPr>
          <w:rFonts w:ascii="Times New Roman" w:hAnsi="Times New Roman" w:cs="Arial"/>
          <w:b/>
          <w:bCs/>
          <w:sz w:val="24"/>
          <w:szCs w:val="24"/>
        </w:rPr>
        <w:t>5.  DA ESPECIFICAÇÃO DOS SERVIÇOS.</w:t>
      </w: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 DO GERENCIAMENTO DO SISTEMA.</w:t>
      </w: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5.1.1 DO GERENCIAMENTO DE ABASTECIMENTO DA FROTA:</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5.1.1.1. O Sistema de Gerenciamento do Controle Eletrônico de Combustíveis se fará através de abastecimento por cartão magnético, para máquinas e veículos oficiais ou oficializados, e deve:</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5.1.1.1.1. Prever a possibilidade de abastecimento através da inserção do número do cartão eletrônico, código e senha do condutor, nome da Secretaria, quantidade de litros, hodômetro/horímetro, cidade e posto onde abasteceu;</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5.1.1.1.2. Somente permitir o abastecimento sem a apresentação do cartão magnético de abastecimento do veículo em caso fortuito, desde que devidamente autorizado pelo responsável pelo setor de gerenciamento da Frota Municipal;</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5.1.1.1.3. Os condutores deverão ser previamente cadastrados e autorizados, cujas senhas e cadastros pessoais serão individualizados;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5.1.1.1.4. Possibilitar bloqueio temporário e/ou cancelamento do cartão, 2ª (segunda) via, verificação de saldos e possibilidade de cancelamento da cota/limite em caso de transferência para outro cartão eletrônico, desde que autorizado previamente;</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5.1.1.1.5. Possibilitar o abastecimento em qualquer dos postos credenciados ou licitados para os casos dos veículos em deslocamentos a serviço fora do município;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5.1.1.1.6. Possibilitar relatórios gerenciais de consumo em litros por cartão; consumo em litros por quilômetro rodado por veículo; monitoramento total das despesas de combustível por veículo/mês; consumo em litros; horário e dia de abastecimento, emissão de relatórios do tipo composição de frota, histórico de consumo de combustível, histórico de quilometragem da frota, postos disponibilizados utilizados no abastecimento, utilização de combustíveis por usuário, usuários cadastrados, bem como outros relatórios relativos a consumo de combustíveis, mensalmente ou quando solicitado a qualquer tempo;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5.1.1.1.7. Disponibilizar formas de cancelamento imediato de cartões em caso de extravio ou destruição, substituindo-se imediatamente a partir da comunicação do Departamento de frotas ao contratado;</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5.1.1.2. O</w:t>
      </w:r>
      <w:r>
        <w:rPr>
          <w:rFonts w:ascii="Times New Roman" w:hAnsi="Times New Roman" w:cs="Arial"/>
          <w:sz w:val="24"/>
          <w:szCs w:val="24"/>
        </w:rPr>
        <w:t xml:space="preserve">s Cartões Eletrônicos deverão ser emitidos em prazo não superior a 48 (quarenta e oito) horas, ser enumerados, controlados, individualizados e vinculados aos veículos oficiais da Câmara Municipal e ainda serão emitidos relatórios contendo o registo do hodômetro/horímetro referente a cada abastecimento feito pelo veículo, bem como, a média de quilometragem feita por litro de combustível gasto, posto de abastecimento, quantidade de litros abastecida e nome do </w:t>
      </w:r>
      <w:r>
        <w:rPr>
          <w:rFonts w:ascii="Times New Roman" w:hAnsi="Times New Roman" w:cs="Arial"/>
          <w:b w:val="0"/>
          <w:bCs w:val="0"/>
          <w:sz w:val="24"/>
          <w:szCs w:val="24"/>
        </w:rPr>
        <w:t>motorista/responsável;</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5.1.1.3. Os Cartões Eletrônicos somente deverão ser emitidos através de solicitação expressa pelo departamento de frotas, que fornecerão as informações mínimas, tais como: Placa e Modelo do veículo, Servidor (es) a serem cadastrados, quantidade de litros por cartão, garantindo-se o acesso através de senha individual;</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5.1.1.4. Os cartões eletrônicos serão disponibilizados sem taxa ou custos adicionais da confecção;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5.1.1.5. Os cartões eletrônicos terão operação "ON LINE", sendo o abastecimento em litros, inclusive ficando a cargo do departamento de frotas controlar a quantidade disponível a estipulação da litragem a ser abastecida (Mediante consulta prévia de saldo) no momento do registro do abastecimento;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5.1.1.6. Todos os abastecimentos deverão constar nos relatórios emitidos pelo sistema de gerenciamento, sendo de rede credenciado ou licitado.</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5.1.1.7. Pa</w:t>
      </w:r>
      <w:r>
        <w:rPr>
          <w:rFonts w:ascii="Times New Roman" w:hAnsi="Times New Roman" w:cs="Arial"/>
          <w:sz w:val="24"/>
          <w:szCs w:val="24"/>
        </w:rPr>
        <w:t>ra o gerenciamento de combustível o módulo deverá permitir o cadastro de forma online de gestores com perfil e níveis de alçadas, controle e notas de empenhos, relatório de frota com cota, condutores, cartões. Faturas  “on line”, relatórios de fechamentos, gerenciais e consumo, rede credenciada, dashboard, e portal da transparência.</w:t>
      </w: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5.1.2. - DO GERENCIAMENTO DE MANUTENÇÃO PREVENTIVA E CORRETIVA</w:t>
      </w:r>
    </w:p>
    <w:p>
      <w:pPr>
        <w:spacing w:before="0" w:after="120" w:line="276" w:lineRule="auto"/>
        <w:jc w:val="both"/>
        <w:rPr>
          <w:rFonts w:ascii="Times New Roman" w:hAnsi="Times New Roman"/>
          <w:b w:val="0"/>
          <w:bCs w:val="0"/>
          <w:sz w:val="24"/>
          <w:szCs w:val="24"/>
        </w:rPr>
      </w:pPr>
      <w:r>
        <w:rPr>
          <w:rFonts w:ascii="Times New Roman" w:hAnsi="Times New Roman" w:cs="Arial"/>
          <w:b w:val="0"/>
          <w:bCs w:val="0"/>
          <w:sz w:val="24"/>
          <w:szCs w:val="24"/>
        </w:rPr>
        <w:t>5.1.2.1. Manutenção Preventiva abrange 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Essa manutenção deve ser efetuada de acordo com a periodicidade e com as especificações recomendadas pelo fabricante do veículo.</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5.1.2.1.1. S</w:t>
      </w:r>
      <w:r>
        <w:rPr>
          <w:rFonts w:ascii="Times New Roman" w:hAnsi="Times New Roman" w:cs="Arial"/>
          <w:sz w:val="24"/>
          <w:szCs w:val="24"/>
        </w:rPr>
        <w:t>ão exemplos de manutenção preventiva:</w:t>
      </w:r>
    </w:p>
    <w:tbl>
      <w:tblPr>
        <w:tblStyle w:val="9"/>
        <w:tblW w:w="9589" w:type="dxa"/>
        <w:tblInd w:w="-1" w:type="dxa"/>
        <w:tblLayout w:type="fixed"/>
        <w:tblCellMar>
          <w:top w:w="0" w:type="dxa"/>
          <w:left w:w="5" w:type="dxa"/>
          <w:bottom w:w="0" w:type="dxa"/>
          <w:right w:w="5" w:type="dxa"/>
        </w:tblCellMar>
      </w:tblPr>
      <w:tblGrid>
        <w:gridCol w:w="2969"/>
        <w:gridCol w:w="6619"/>
      </w:tblGrid>
      <w:tr>
        <w:tblPrEx>
          <w:tblCellMar>
            <w:top w:w="0" w:type="dxa"/>
            <w:left w:w="5" w:type="dxa"/>
            <w:bottom w:w="0" w:type="dxa"/>
            <w:right w:w="5" w:type="dxa"/>
          </w:tblCellMar>
        </w:tblPrEx>
        <w:trPr>
          <w:trHeight w:val="842"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Mecânica Geral</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em serviços de mecânica em motor, retífica, caixa de câmbio, caixa de direção, carburação e/ou bomba injetora e refil, injeção, velas, bomba e bicos injetores, turbina, sistema de freios e embreagem e todos os outros serviços afins.</w:t>
            </w:r>
          </w:p>
        </w:tc>
      </w:tr>
      <w:tr>
        <w:tblPrEx>
          <w:tblCellMar>
            <w:top w:w="0" w:type="dxa"/>
            <w:left w:w="5" w:type="dxa"/>
            <w:bottom w:w="0" w:type="dxa"/>
            <w:right w:w="5" w:type="dxa"/>
          </w:tblCellMar>
        </w:tblPrEx>
        <w:trPr>
          <w:trHeight w:val="666"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Lanternagem</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em serviços de troca e/ou conserto de lataria, assoalhos, para-choques, carrocerias em alumínio (tipo baú), solda em geral e todos os outros serviços afins.</w:t>
            </w:r>
          </w:p>
        </w:tc>
      </w:tr>
      <w:tr>
        <w:tblPrEx>
          <w:tblCellMar>
            <w:top w:w="0" w:type="dxa"/>
            <w:left w:w="5" w:type="dxa"/>
            <w:bottom w:w="0" w:type="dxa"/>
            <w:right w:w="5" w:type="dxa"/>
          </w:tblCellMar>
        </w:tblPrEx>
        <w:trPr>
          <w:trHeight w:val="863"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Pintura / Estufa</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em serviços de pintura automotiva externa ou interna, com polimento, enceramento e/ou faixa de identificação do veículo, com secagem rápida, identificação visual e adesivagem de caracterização de viatura ostensiva e todos os outros serviços afins.</w:t>
            </w:r>
          </w:p>
        </w:tc>
      </w:tr>
      <w:tr>
        <w:tblPrEx>
          <w:tblCellMar>
            <w:top w:w="0" w:type="dxa"/>
            <w:left w:w="5" w:type="dxa"/>
            <w:bottom w:w="0" w:type="dxa"/>
            <w:right w:w="5" w:type="dxa"/>
          </w:tblCellMar>
        </w:tblPrEx>
        <w:trPr>
          <w:trHeight w:val="772"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Capotaria</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em serviços de substituição ou conserto de estofados e cobertura interna dos veículos, incluindo tapeçaria, bem como a parte mecânica do funcionamento dos bancos, portas, cintos de segurança, borrachas das portas e todos os outros serviços</w:t>
            </w: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afins.</w:t>
            </w:r>
          </w:p>
        </w:tc>
      </w:tr>
      <w:tr>
        <w:tblPrEx>
          <w:tblCellMar>
            <w:top w:w="0" w:type="dxa"/>
            <w:left w:w="5" w:type="dxa"/>
            <w:bottom w:w="0" w:type="dxa"/>
            <w:right w:w="5" w:type="dxa"/>
          </w:tblCellMar>
        </w:tblPrEx>
        <w:trPr>
          <w:trHeight w:val="774"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Sistema Elétrico</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no serviço de substituição ou conserto de partes elétricas da frota, revisão do sistema de sinalização identificadora, luz e som (faróis, lâmpadas, condutores,</w:t>
            </w: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comandos,</w:t>
            </w:r>
            <w:r>
              <w:rPr>
                <w:rFonts w:ascii="Times New Roman" w:hAnsi="Times New Roman" w:cs="Arial"/>
                <w:sz w:val="24"/>
                <w:szCs w:val="24"/>
              </w:rPr>
              <w:tab/>
            </w:r>
            <w:r>
              <w:rPr>
                <w:rFonts w:ascii="Times New Roman" w:hAnsi="Times New Roman" w:cs="Arial"/>
                <w:sz w:val="24"/>
                <w:szCs w:val="24"/>
              </w:rPr>
              <w:t>setas,</w:t>
            </w:r>
            <w:r>
              <w:rPr>
                <w:rFonts w:ascii="Times New Roman" w:hAnsi="Times New Roman" w:cs="Arial"/>
                <w:sz w:val="24"/>
                <w:szCs w:val="24"/>
              </w:rPr>
              <w:tab/>
            </w:r>
            <w:r>
              <w:rPr>
                <w:rFonts w:ascii="Times New Roman" w:hAnsi="Times New Roman" w:cs="Arial"/>
                <w:sz w:val="24"/>
                <w:szCs w:val="24"/>
              </w:rPr>
              <w:t>vidros</w:t>
            </w:r>
            <w:r>
              <w:rPr>
                <w:rFonts w:ascii="Times New Roman" w:hAnsi="Times New Roman" w:cs="Arial"/>
                <w:sz w:val="24"/>
                <w:szCs w:val="24"/>
              </w:rPr>
              <w:tab/>
            </w:r>
            <w:r>
              <w:rPr>
                <w:rFonts w:ascii="Times New Roman" w:hAnsi="Times New Roman" w:cs="Arial"/>
                <w:sz w:val="24"/>
                <w:szCs w:val="24"/>
              </w:rPr>
              <w:t>elétricos,</w:t>
            </w:r>
            <w:r>
              <w:rPr>
                <w:rFonts w:ascii="Times New Roman" w:hAnsi="Times New Roman" w:cs="Arial"/>
                <w:sz w:val="24"/>
                <w:szCs w:val="24"/>
              </w:rPr>
              <w:tab/>
            </w:r>
            <w:r>
              <w:rPr>
                <w:rFonts w:ascii="Times New Roman" w:hAnsi="Times New Roman" w:cs="Arial"/>
                <w:sz w:val="24"/>
                <w:szCs w:val="24"/>
              </w:rPr>
              <w:t>limpadores</w:t>
            </w:r>
            <w:r>
              <w:rPr>
                <w:rFonts w:ascii="Times New Roman" w:hAnsi="Times New Roman" w:cs="Arial"/>
                <w:sz w:val="24"/>
                <w:szCs w:val="24"/>
              </w:rPr>
              <w:tab/>
            </w:r>
            <w:r>
              <w:rPr>
                <w:rFonts w:ascii="Times New Roman" w:hAnsi="Times New Roman" w:cs="Arial"/>
                <w:sz w:val="24"/>
                <w:szCs w:val="24"/>
              </w:rPr>
              <w:t>de</w:t>
            </w:r>
            <w:r>
              <w:rPr>
                <w:rFonts w:ascii="Times New Roman" w:hAnsi="Times New Roman" w:cs="Arial"/>
                <w:sz w:val="24"/>
                <w:szCs w:val="24"/>
              </w:rPr>
              <w:tab/>
            </w:r>
            <w:r>
              <w:rPr>
                <w:rFonts w:ascii="Times New Roman" w:hAnsi="Times New Roman" w:cs="Arial"/>
                <w:sz w:val="24"/>
                <w:szCs w:val="24"/>
              </w:rPr>
              <w:t>para-brisa e outros).</w:t>
            </w:r>
          </w:p>
        </w:tc>
      </w:tr>
      <w:tr>
        <w:tblPrEx>
          <w:tblCellMar>
            <w:top w:w="0" w:type="dxa"/>
            <w:left w:w="5" w:type="dxa"/>
            <w:bottom w:w="0" w:type="dxa"/>
            <w:right w:w="5" w:type="dxa"/>
          </w:tblCellMar>
        </w:tblPrEx>
        <w:trPr>
          <w:trHeight w:val="542"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Sistema Hidráulico</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em serviços de substituição ou conserto nos sistemas hidráulicos dos veículos (freios, direção e outros).</w:t>
            </w:r>
          </w:p>
        </w:tc>
      </w:tr>
      <w:tr>
        <w:tblPrEx>
          <w:tblCellMar>
            <w:top w:w="0" w:type="dxa"/>
            <w:left w:w="5" w:type="dxa"/>
            <w:bottom w:w="0" w:type="dxa"/>
            <w:right w:w="5" w:type="dxa"/>
          </w:tblCellMar>
        </w:tblPrEx>
        <w:trPr>
          <w:trHeight w:val="385"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Borracharia completa</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em remendos, em pneus com e sem câmara de ar, troca de pneus, câmaras de ar, colocação de rodas, calotas e todos os outros serviços afins.</w:t>
            </w:r>
          </w:p>
        </w:tc>
      </w:tr>
      <w:tr>
        <w:tblPrEx>
          <w:tblCellMar>
            <w:top w:w="0" w:type="dxa"/>
            <w:left w:w="5" w:type="dxa"/>
            <w:bottom w:w="0" w:type="dxa"/>
            <w:right w:w="5" w:type="dxa"/>
          </w:tblCellMar>
        </w:tblPrEx>
        <w:trPr>
          <w:trHeight w:val="1010" w:hRule="atLeast"/>
        </w:trPr>
        <w:tc>
          <w:tcPr>
            <w:tcW w:w="296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Rodízio, Balanceamento, Alinhamento, Cambagem</w:t>
            </w:r>
          </w:p>
        </w:tc>
        <w:tc>
          <w:tcPr>
            <w:tcW w:w="6619" w:type="dxa"/>
            <w:tcBorders>
              <w:top w:val="single" w:color="000000" w:sz="4" w:space="0"/>
              <w:left w:val="single" w:color="000000" w:sz="4" w:space="0"/>
              <w:bottom w:val="single" w:color="000000" w:sz="4" w:space="0"/>
              <w:right w:val="single" w:color="000000" w:sz="4"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em serviços de troca/substituição de pneus, regulagem do sistema de rodagem do veículo e todos os outros serviços afins.</w:t>
            </w:r>
          </w:p>
        </w:tc>
      </w:tr>
      <w:tr>
        <w:tblPrEx>
          <w:tblCellMar>
            <w:top w:w="0" w:type="dxa"/>
            <w:left w:w="5" w:type="dxa"/>
            <w:bottom w:w="0" w:type="dxa"/>
            <w:right w:w="5" w:type="dxa"/>
          </w:tblCellMar>
        </w:tblPrEx>
        <w:trPr>
          <w:trHeight w:val="580" w:hRule="atLeast"/>
        </w:trPr>
        <w:tc>
          <w:tcPr>
            <w:tcW w:w="2969" w:type="dxa"/>
            <w:tcBorders>
              <w:top w:val="single" w:color="000000" w:sz="4" w:space="0"/>
              <w:left w:val="single" w:color="000000" w:sz="4" w:space="0"/>
              <w:bottom w:val="single" w:color="000000" w:sz="4" w:space="0"/>
              <w:right w:val="single" w:color="000000" w:sz="6"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Suspensão</w:t>
            </w:r>
          </w:p>
        </w:tc>
        <w:tc>
          <w:tcPr>
            <w:tcW w:w="6619" w:type="dxa"/>
            <w:tcBorders>
              <w:top w:val="single" w:color="000000" w:sz="4" w:space="0"/>
              <w:left w:val="single" w:color="000000" w:sz="6" w:space="0"/>
              <w:bottom w:val="single" w:color="000000" w:sz="6" w:space="0"/>
              <w:right w:val="single" w:color="000000" w:sz="6"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nos serviços de substituição e/ou consertos de amortecedores</w:t>
            </w: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estabilizadores, borrachas, calços, balanças, molas, pivôs, barra de direção e todos os outros serviços afins.</w:t>
            </w:r>
          </w:p>
        </w:tc>
      </w:tr>
      <w:tr>
        <w:tblPrEx>
          <w:tblCellMar>
            <w:top w:w="0" w:type="dxa"/>
            <w:left w:w="5" w:type="dxa"/>
            <w:bottom w:w="0" w:type="dxa"/>
            <w:right w:w="5" w:type="dxa"/>
          </w:tblCellMar>
        </w:tblPrEx>
        <w:trPr>
          <w:trHeight w:val="770" w:hRule="atLeast"/>
        </w:trPr>
        <w:tc>
          <w:tcPr>
            <w:tcW w:w="2969" w:type="dxa"/>
            <w:tcBorders>
              <w:top w:val="single" w:color="000000" w:sz="4" w:space="0"/>
              <w:left w:val="single" w:color="000000" w:sz="4" w:space="0"/>
              <w:bottom w:val="single" w:color="000000" w:sz="4" w:space="0"/>
              <w:right w:val="single" w:color="000000" w:sz="6"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Instalação de Acessórios</w:t>
            </w:r>
          </w:p>
        </w:tc>
        <w:tc>
          <w:tcPr>
            <w:tcW w:w="6619" w:type="dxa"/>
            <w:tcBorders>
              <w:top w:val="single" w:color="000000" w:sz="6" w:space="0"/>
              <w:left w:val="single" w:color="000000" w:sz="6" w:space="0"/>
              <w:bottom w:val="single" w:color="000000" w:sz="6" w:space="0"/>
              <w:right w:val="single" w:color="000000" w:sz="6"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nos serviços de instalação de qualquer acessório indispensável ao funcionamento ou segurança dos veículos Rodoviário, assim como, o conserto e instalação de acessórios de som e imagem, tapetes, equipamentos de segurança (triângulo sinalizador, chave de roda, cinto de segurança) e combate a incêndios.</w:t>
            </w:r>
          </w:p>
        </w:tc>
      </w:tr>
      <w:tr>
        <w:tblPrEx>
          <w:tblCellMar>
            <w:top w:w="0" w:type="dxa"/>
            <w:left w:w="5" w:type="dxa"/>
            <w:bottom w:w="0" w:type="dxa"/>
            <w:right w:w="5" w:type="dxa"/>
          </w:tblCellMar>
        </w:tblPrEx>
        <w:trPr>
          <w:trHeight w:val="575" w:hRule="atLeast"/>
        </w:trPr>
        <w:tc>
          <w:tcPr>
            <w:tcW w:w="2969" w:type="dxa"/>
            <w:tcBorders>
              <w:top w:val="single" w:color="000000" w:sz="4" w:space="0"/>
              <w:left w:val="single" w:color="000000" w:sz="4" w:space="0"/>
              <w:bottom w:val="single" w:color="000000" w:sz="4" w:space="0"/>
              <w:right w:val="single" w:color="000000" w:sz="6"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Vidraceiro</w:t>
            </w:r>
          </w:p>
        </w:tc>
        <w:tc>
          <w:tcPr>
            <w:tcW w:w="6619" w:type="dxa"/>
            <w:tcBorders>
              <w:top w:val="single" w:color="000000" w:sz="6" w:space="0"/>
              <w:left w:val="single" w:color="000000" w:sz="6" w:space="0"/>
              <w:bottom w:val="single" w:color="000000" w:sz="6" w:space="0"/>
              <w:right w:val="single" w:color="000000" w:sz="6" w:space="0"/>
            </w:tcBorders>
          </w:tcPr>
          <w:p>
            <w:pPr>
              <w:widowControl w:val="0"/>
              <w:spacing w:before="0" w:after="120" w:line="276" w:lineRule="auto"/>
              <w:jc w:val="both"/>
              <w:rPr>
                <w:rFonts w:ascii="Times New Roman" w:hAnsi="Times New Roman"/>
                <w:sz w:val="24"/>
                <w:szCs w:val="24"/>
              </w:rPr>
            </w:pPr>
            <w:r>
              <w:rPr>
                <w:rFonts w:ascii="Times New Roman" w:hAnsi="Times New Roman" w:cs="Arial"/>
                <w:sz w:val="24"/>
                <w:szCs w:val="24"/>
              </w:rPr>
              <w:t>Consiste nos serviços de substituição os vidros frontal, traseiro e lateral, retrovisores, borrachas dos vidros e portas e polimento dos para brisas e todos os outros serviços afins.</w:t>
            </w:r>
          </w:p>
          <w:p>
            <w:pPr>
              <w:widowControl w:val="0"/>
              <w:spacing w:before="0" w:after="120" w:line="276" w:lineRule="auto"/>
              <w:jc w:val="both"/>
              <w:rPr>
                <w:rFonts w:cs="Arial"/>
              </w:rPr>
            </w:pPr>
          </w:p>
        </w:tc>
      </w:tr>
      <w:tr>
        <w:tblPrEx>
          <w:tblCellMar>
            <w:top w:w="0" w:type="dxa"/>
            <w:left w:w="5" w:type="dxa"/>
            <w:bottom w:w="0" w:type="dxa"/>
            <w:right w:w="5" w:type="dxa"/>
          </w:tblCellMar>
        </w:tblPrEx>
        <w:trPr>
          <w:trHeight w:val="366" w:hRule="atLeast"/>
        </w:trPr>
        <w:tc>
          <w:tcPr>
            <w:tcW w:w="2969" w:type="dxa"/>
            <w:tcBorders>
              <w:top w:val="single" w:color="000000" w:sz="4" w:space="0"/>
              <w:left w:val="single" w:color="000000" w:sz="4" w:space="0"/>
              <w:bottom w:val="single" w:color="000000" w:sz="4" w:space="0"/>
              <w:right w:val="single" w:color="000000" w:sz="6"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Chaveiro</w:t>
            </w:r>
          </w:p>
        </w:tc>
        <w:tc>
          <w:tcPr>
            <w:tcW w:w="6619" w:type="dxa"/>
            <w:tcBorders>
              <w:top w:val="single" w:color="000000" w:sz="6" w:space="0"/>
              <w:left w:val="single" w:color="000000" w:sz="6" w:space="0"/>
              <w:bottom w:val="single" w:color="000000" w:sz="6" w:space="0"/>
              <w:right w:val="single" w:color="000000" w:sz="6"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Confecção de chaves, codificação e outros serviços afins.</w:t>
            </w:r>
          </w:p>
        </w:tc>
      </w:tr>
      <w:tr>
        <w:tblPrEx>
          <w:tblCellMar>
            <w:top w:w="0" w:type="dxa"/>
            <w:left w:w="5" w:type="dxa"/>
            <w:bottom w:w="0" w:type="dxa"/>
            <w:right w:w="5" w:type="dxa"/>
          </w:tblCellMar>
        </w:tblPrEx>
        <w:trPr>
          <w:trHeight w:val="827" w:hRule="atLeast"/>
        </w:trPr>
        <w:tc>
          <w:tcPr>
            <w:tcW w:w="2969" w:type="dxa"/>
            <w:tcBorders>
              <w:top w:val="single" w:color="000000" w:sz="4" w:space="0"/>
              <w:left w:val="single" w:color="000000" w:sz="4" w:space="0"/>
              <w:bottom w:val="single" w:color="000000" w:sz="4" w:space="0"/>
              <w:right w:val="single" w:color="000000" w:sz="6"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Ar-condicionado</w:t>
            </w:r>
          </w:p>
        </w:tc>
        <w:tc>
          <w:tcPr>
            <w:tcW w:w="6619" w:type="dxa"/>
            <w:tcBorders>
              <w:top w:val="single" w:color="000000" w:sz="6" w:space="0"/>
              <w:left w:val="single" w:color="000000" w:sz="6" w:space="0"/>
              <w:bottom w:val="single" w:color="000000" w:sz="6" w:space="0"/>
              <w:right w:val="single" w:color="000000" w:sz="6"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nos serviços de reparo do sistema de resfriamento do ar do interior do veículo, inclusive troca de gás, conserto e substituição do compressor, higienização, troca de componentes eletrônicos e todos os outros serviços afins.</w:t>
            </w:r>
          </w:p>
        </w:tc>
      </w:tr>
      <w:tr>
        <w:tblPrEx>
          <w:tblCellMar>
            <w:top w:w="0" w:type="dxa"/>
            <w:left w:w="5" w:type="dxa"/>
            <w:bottom w:w="0" w:type="dxa"/>
            <w:right w:w="5" w:type="dxa"/>
          </w:tblCellMar>
        </w:tblPrEx>
        <w:trPr>
          <w:trHeight w:val="827" w:hRule="atLeast"/>
        </w:trPr>
        <w:tc>
          <w:tcPr>
            <w:tcW w:w="2969" w:type="dxa"/>
            <w:tcBorders>
              <w:top w:val="single" w:color="000000" w:sz="4" w:space="0"/>
              <w:left w:val="single" w:color="000000" w:sz="4" w:space="0"/>
              <w:bottom w:val="single" w:color="000000" w:sz="4" w:space="0"/>
              <w:right w:val="single" w:color="000000" w:sz="6" w:space="0"/>
            </w:tcBorders>
          </w:tcPr>
          <w:p>
            <w:pPr>
              <w:widowControl w:val="0"/>
              <w:spacing w:before="0" w:after="120" w:line="276" w:lineRule="auto"/>
              <w:jc w:val="both"/>
              <w:rPr>
                <w:rFonts w:ascii="Times New Roman" w:hAnsi="Times New Roman" w:cs="Arial"/>
                <w:sz w:val="24"/>
                <w:szCs w:val="24"/>
              </w:rPr>
            </w:pPr>
          </w:p>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Troca de Óleo</w:t>
            </w:r>
          </w:p>
          <w:p>
            <w:pPr>
              <w:widowControl w:val="0"/>
              <w:spacing w:before="0" w:after="120" w:line="276" w:lineRule="auto"/>
              <w:jc w:val="both"/>
              <w:rPr>
                <w:rFonts w:ascii="Times New Roman" w:hAnsi="Times New Roman" w:cs="Arial"/>
                <w:sz w:val="24"/>
                <w:szCs w:val="24"/>
              </w:rPr>
            </w:pPr>
          </w:p>
        </w:tc>
        <w:tc>
          <w:tcPr>
            <w:tcW w:w="6619" w:type="dxa"/>
            <w:tcBorders>
              <w:top w:val="single" w:color="000000" w:sz="6" w:space="0"/>
              <w:left w:val="single" w:color="000000" w:sz="6" w:space="0"/>
              <w:bottom w:val="single" w:color="000000" w:sz="6" w:space="0"/>
              <w:right w:val="single" w:color="000000" w:sz="6" w:space="0"/>
            </w:tcBorders>
          </w:tcPr>
          <w:p>
            <w:pPr>
              <w:widowControl w:val="0"/>
              <w:spacing w:before="0" w:after="120" w:line="276" w:lineRule="auto"/>
              <w:jc w:val="both"/>
              <w:rPr>
                <w:rFonts w:ascii="Times New Roman" w:hAnsi="Times New Roman" w:cs="Arial"/>
                <w:sz w:val="24"/>
                <w:szCs w:val="24"/>
              </w:rPr>
            </w:pPr>
            <w:r>
              <w:rPr>
                <w:rFonts w:ascii="Times New Roman" w:hAnsi="Times New Roman" w:cs="Arial"/>
                <w:sz w:val="24"/>
                <w:szCs w:val="24"/>
              </w:rPr>
              <w:t>Consiste nos serviços de fornecimento e troca de óleo do motor, do câmbio e da direção hidráulica, bomba de combustível, e substituição dos elementos filtrantes (ar, combustível, óleo lubrificante).</w:t>
            </w:r>
          </w:p>
        </w:tc>
      </w:tr>
      <w:tr>
        <w:tblPrEx>
          <w:tblCellMar>
            <w:top w:w="0" w:type="dxa"/>
            <w:left w:w="5" w:type="dxa"/>
            <w:bottom w:w="0" w:type="dxa"/>
            <w:right w:w="5" w:type="dxa"/>
          </w:tblCellMar>
        </w:tblPrEx>
        <w:trPr>
          <w:trHeight w:val="827" w:hRule="atLeast"/>
        </w:trPr>
        <w:tc>
          <w:tcPr>
            <w:tcW w:w="2969" w:type="dxa"/>
            <w:tcBorders>
              <w:left w:val="single" w:color="000000" w:sz="4" w:space="0"/>
              <w:bottom w:val="single" w:color="000000" w:sz="4" w:space="0"/>
              <w:right w:val="single" w:color="000000" w:sz="6" w:space="0"/>
            </w:tcBorders>
          </w:tcPr>
          <w:p>
            <w:pPr>
              <w:spacing w:before="0" w:after="120" w:line="276" w:lineRule="auto"/>
              <w:jc w:val="both"/>
              <w:rPr>
                <w:rFonts w:ascii="Times New Roman" w:hAnsi="Times New Roman"/>
                <w:sz w:val="24"/>
                <w:szCs w:val="24"/>
              </w:rPr>
            </w:pPr>
          </w:p>
          <w:p>
            <w:pPr>
              <w:spacing w:before="0" w:after="120" w:line="276" w:lineRule="auto"/>
              <w:jc w:val="both"/>
              <w:rPr>
                <w:rFonts w:ascii="Times New Roman" w:hAnsi="Times New Roman" w:cs="Arial"/>
                <w:sz w:val="24"/>
                <w:szCs w:val="24"/>
              </w:rPr>
            </w:pPr>
            <w:r>
              <w:rPr>
                <w:rFonts w:ascii="Times New Roman" w:hAnsi="Times New Roman" w:cs="Arial"/>
                <w:sz w:val="24"/>
                <w:szCs w:val="24"/>
              </w:rPr>
              <w:t>Lavagem</w:t>
            </w:r>
          </w:p>
        </w:tc>
        <w:tc>
          <w:tcPr>
            <w:tcW w:w="6619" w:type="dxa"/>
            <w:tcBorders>
              <w:left w:val="single" w:color="000000" w:sz="6" w:space="0"/>
              <w:bottom w:val="single" w:color="000000" w:sz="6" w:space="0"/>
              <w:right w:val="single" w:color="000000" w:sz="6" w:space="0"/>
            </w:tcBorders>
          </w:tcPr>
          <w:p>
            <w:pPr>
              <w:spacing w:before="0" w:after="120" w:line="276" w:lineRule="auto"/>
              <w:jc w:val="both"/>
              <w:rPr>
                <w:rFonts w:ascii="Times New Roman" w:hAnsi="Times New Roman"/>
                <w:sz w:val="24"/>
                <w:szCs w:val="24"/>
              </w:rPr>
            </w:pPr>
            <w:r>
              <w:rPr>
                <w:rFonts w:ascii="Times New Roman" w:hAnsi="Times New Roman"/>
                <w:sz w:val="24"/>
                <w:szCs w:val="24"/>
              </w:rPr>
              <w:t>Consiste em no “tipo americana”, que consiste na limpeza interna e externa dos veículos. Na externa deverá ser limpa toda a lataria, vidros, para-choques, rodas e pneus, utilizando xampu neutro ou específico para veículos. Limpeza interna incluirá o serviço de aspiração do assoalho e dos bancos, lavagem dos carpetes, higienização das partes plásticas, bem como a limpeza dos vidros.</w:t>
            </w:r>
          </w:p>
          <w:p>
            <w:pPr>
              <w:spacing w:before="0" w:after="120" w:line="276" w:lineRule="auto"/>
              <w:jc w:val="both"/>
              <w:rPr>
                <w:rFonts w:ascii="Times New Roman" w:hAnsi="Times New Roman"/>
                <w:sz w:val="24"/>
                <w:szCs w:val="24"/>
              </w:rPr>
            </w:pPr>
            <w:r>
              <w:rPr>
                <w:rFonts w:ascii="Times New Roman" w:hAnsi="Times New Roman"/>
                <w:sz w:val="24"/>
                <w:szCs w:val="24"/>
              </w:rPr>
              <w:t>Poderá ser solicitado, aplicação de cera, polimento e lavagem do motor.</w:t>
            </w:r>
          </w:p>
        </w:tc>
      </w:tr>
    </w:tbl>
    <w:p>
      <w:pPr>
        <w:spacing w:before="0" w:after="120" w:line="276" w:lineRule="auto"/>
        <w:jc w:val="both"/>
        <w:rPr>
          <w:rFonts w:ascii="Times New Roman" w:hAnsi="Times New Roman" w:cs="Arial"/>
          <w:sz w:val="24"/>
          <w:szCs w:val="24"/>
        </w:rPr>
      </w:pPr>
      <w:r>
        <w:rPr>
          <w:rFonts w:ascii="Times New Roman" w:hAnsi="Times New Roman" w:cs="Arial"/>
          <w:sz w:val="24"/>
          <w:szCs w:val="24"/>
        </w:rPr>
        <w:t>OBS.: O rol acima é meramente exemplificativo e não exclui nenhum outro serviço necessário ao bom funcionamento dos veículos.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5.1.2.2. Manutenção Corretiva e Pesada é aquela destinada a remover os defeitos apresentados pelos veículos, compreendendo, reparação, substituição de peças, restauração de componentes e todas as atividades necessárias à garantia do perfeito funcionamento do veículo e ou implemento defeituoso, conforme os manuais e normas técnicas específicas.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5.1.2.3. Compreenderão os serviços na parte elétrica, eletrônica, motor, suspensão, pneus, cambagem, balanceamento, vidros, alinhamento, sistema de refrigeração, ar-condicionado, serviços de tapeçaria, estofamento, mecânica em geral, e outros, inclusive teste geral; manutenção do sistema de injeção eletrônica e sistema de bomba injetora.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5.1.2.4. A manutenção corretiva implica na conferência, substituição, montagem e desmontagem de qualquer peça/acessórios que apresente defeito que impeça o perfeito funcionamento do veículo, conforme recomendações do fabricante;</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5.1.2.5. Todas as peças e acessórios substituídos na manutenção corretiva deverão ter garantia no mínimo de 90 dias para peças originais e 12 meses para peças genuínas por parte da contratada.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5.1.2.6. Todos os serviços executados na manutenção corretiva deverão ter garantia de no mínimo 90 dias.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5.1.2.7. Caso os serviços executados ou as peças, componentes,  acessórios  ou  sistemas empregados apresentem problemas e/ou defeitos dentro do período de garantia, esses deverão ser refeitos e/ou substituídos no prazo não maior que o prazo do 1º conserto (15 dias corridos), sem nenhum ônus para a Prefeitura Municipal e suas Secretarias.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5.1.2.8. Todos os serviços e produtos necessários para a manutenção preventiva e corretiva da frota municipal e gerenciamento da frota municipal deverão ser comprados em rede credenciada pela contratada, devidamente comprovados por relatórios emitidos no sistema de gerenciamento.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5.1.2.9. O módulo de manutenção preventiva e corretiva deverá ser integrado aos módulos de abastecimento e de rastreamento, sendo alimentado automaticamente das informações de deslocamento, aceleração e ignição ligada/desligada, possibilitando o acompanhamento em tempo real da utilização do veículo, para que o sistema informe o gestor de frotas o momento exato em que o veículo deverá ser conduzido para realização da troca das peças que tiveram suas vidas uteis terminado, garantindo assim a realização da executação da manutenção preventiva tempestivamente, evitando os gastos com manutenção emergencial que é muito cara e demorada, sem contar os transtornos que geram, e o custo social pela interrupção temporária do fornecimento do serviço público para o cidadão. Portanto o Sistema tem obrigatoriamente que emitir alertas para o gestor de frotas de todas as manutenções preventivas no período de 10% para a sua realização, bem como aviso permanente quando chegado ao seu prazo final de realização, só parando de avisar quando gestor confirmar a realização da manutenção.</w:t>
      </w:r>
    </w:p>
    <w:p>
      <w:pPr>
        <w:spacing w:before="0" w:after="120" w:line="276" w:lineRule="auto"/>
        <w:jc w:val="both"/>
        <w:rPr>
          <w:rFonts w:ascii="Times New Roman" w:hAnsi="Times New Roman" w:cs="Arial"/>
          <w:sz w:val="24"/>
          <w:szCs w:val="24"/>
        </w:rPr>
      </w:pP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5.1.3. - DO SERVIÇO DE GERENCIAMENTO DO CONTROLE DA FROTA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5.1.3.1. O sistema de gerenciamento deverá ser composto por módulos integrados que permita a consolidação de dados e informações dos veículos referentes a sua utilização, abastecimento, manutenção preventiva e corretiva, em uma única tela.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5.1.3.2. O sistema deverá ser em uma única plataforma ambiente web com único acesso possibilitando ao agente público maior agilidade nas informações com resultados precisos e redução de tempo, eliminando retrabalho com duplicações de cadastro de veículos e condutores, trabalhos de levantamento manual de informações para tomada de decisões.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5.1.3.3. Para o gerenciamento da manutenção preventiva e corretiva o módulo deverá conter, cadastramento de veículos, condutor, empenho e peças, consulta a condutor, veículos, empenhos e peças, gerar orçamentos, controle de entrada de mercadorias, relatórios de fechamento e ordem de serviço executada.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5.1.3.4. O modulo deverá oferecer tratamento de informações da frota para envio ao Tribunal de Contas do Estado de Mato Grosso com formato de tabela XML, no qual permitirá a atualização de veículo, gera carga inicial total no formato XML, carga inicial mensal no formato XML em conformidade com exigência do órgão fiscalizador TCE/MT.</w:t>
      </w:r>
    </w:p>
    <w:p>
      <w:pPr>
        <w:spacing w:before="0" w:after="120" w:line="276" w:lineRule="auto"/>
        <w:jc w:val="both"/>
        <w:rPr>
          <w:rFonts w:ascii="Times New Roman" w:hAnsi="Times New Roman" w:cs="Arial"/>
          <w:sz w:val="24"/>
          <w:szCs w:val="24"/>
        </w:rPr>
      </w:pP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5.1.4. - DO SUPORTE/ATENDIMENTO: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5.1.4.1. A empresa vencedora do certame deve ter suporte técnico especializado do sistema, telefone de atendimento ao cliente 24 horas, e-mails a fim de sanar eventuais ocorrências inerentes ao sistema, quando necessário;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5.1.4.2. Quando solicitado pela Contratante a remissão/envio e entrega de novo(s) cartões magnéticos ou substituições, estes devem ser no prazo não superior a 48 horas do solicitado, seguindo as normas e regras previamente acordadas entre as partes;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5.1.4.3. Ter dispositivo de atendimento (POS), de uso exclusivo do sistema de gerenciamento de abastecimento e (POS) de uso móvel que opere de modo off-line e on-line para acompanhar as melosas no abastecimento de veículos e maquinários em campo.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5.1.4.4. O dispositivo de atendimento (POS) se faz necessário para dar segurança miníma na operação, sendo necessário o porte do cartão, login e senha do condutor, como também quilometragem ou horímetro do veículo para abastecimento.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5.1.4.5. Assim como nos cartões de créditos as operadoras exigem o dispositivo para maior segurança, o mesmo ocorre na operação de combustível. Inclusive esse procedimento é usual da prática de mercado.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5.1.4.6. O dispositivo de atendimento (POS) de uso móvel que opere de modo off-line e on-line “que pode ser inclusive virtual” se faz necessário para manter a relação interdisciplinar que ocorre nos abastecimentos em posto, ocorrendo da mesma forma no campo, onde o condutor da melosa tera que pegar login e senha do condutor do veículo ou máquina que estiver sendo abastecido dando segurança e transparência na operação. Além disso, elimina os blocos de papel, sendo ecologicamente correta e diminuindo o retrabalho, haja vista que na utilização de blocos de papel o mesmo teriam que ser digitados no sistema ou em planilhas de excel. Com o dispositivo móvel, assim que a transação feita tiver sinal de internet será sincronizada ao sistema e todas as informações estarão lançadas e organizadas no sistema. </w:t>
      </w:r>
    </w:p>
    <w:p>
      <w:pPr>
        <w:spacing w:before="0" w:after="120" w:line="276" w:lineRule="auto"/>
        <w:jc w:val="both"/>
        <w:rPr>
          <w:rFonts w:ascii="Times New Roman" w:hAnsi="Times New Roman" w:cs="Arial"/>
          <w:sz w:val="24"/>
          <w:szCs w:val="24"/>
        </w:rPr>
      </w:pP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5.1.5. DO FORNECIMENTO DOS CARTÕES</w:t>
      </w:r>
    </w:p>
    <w:p>
      <w:pPr>
        <w:spacing w:before="0" w:after="120" w:line="276" w:lineRule="auto"/>
        <w:jc w:val="both"/>
        <w:rPr>
          <w:rFonts w:ascii="Times New Roman" w:hAnsi="Times New Roman"/>
          <w:sz w:val="24"/>
          <w:szCs w:val="24"/>
        </w:rPr>
      </w:pPr>
      <w:r>
        <w:rPr>
          <w:rFonts w:ascii="Times New Roman" w:hAnsi="Times New Roman" w:cs="Arial"/>
          <w:sz w:val="24"/>
          <w:szCs w:val="24"/>
        </w:rPr>
        <w:t>5.1.5.1. Os cartões deverão ser entregues diretamente na Câmara Municipal, e deverão ter o padrão preconizado pela ABNT e duração de no mínimo 05 (cinco) anos.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5.1.5.2. Os cartões não serão cobrados em separado, pois os seus custos estão inclusos no valor do serviço de gerenciamento da frota. A quantidade de cartões estará diretamente relacionada com a quantidade da frota municipal.</w:t>
      </w:r>
    </w:p>
    <w:p>
      <w:pPr>
        <w:spacing w:before="0" w:after="120" w:line="276" w:lineRule="auto"/>
        <w:jc w:val="both"/>
        <w:rPr>
          <w:rFonts w:ascii="Times New Roman" w:hAnsi="Times New Roman"/>
          <w:sz w:val="24"/>
          <w:szCs w:val="24"/>
        </w:rPr>
      </w:pPr>
      <w:r>
        <w:rPr>
          <w:rFonts w:ascii="Times New Roman" w:hAnsi="Times New Roman" w:cs="Arial"/>
          <w:sz w:val="24"/>
          <w:szCs w:val="24"/>
        </w:rPr>
        <w:t>5.1.5.3. Os créditos dos cartões de cada veículo serão definidos de acordo com a conveniência da Administração da Câmara Municipal</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5.1.5.4. Os dados cadastrais dos veículos, para constar nos cartões, serão fornecidos pela contratante, que deverão ser individualizados e personalizados para cada veículo da frota, com as seguintes informações: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5.1.5.4.1. identificação da CONTRATANTE;</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5.1.5.4.2.identificação do veículo: placa, marca e modelo.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5.1.5.5. Os cartões magnéticos fornecidos servirão exclusivamente para as despesas de produtos e serviços automotivos nos fornecedores credenciados, sendo de  responsabilidade da licitante vencedora a programação desta funcionalidade.</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5.1.5.6.Os fornecedores credenciados deverão estar equipados com aparelhos integrados ao sistema, que permita a verificação da identificação do veículo, a validação da senha do condutor, além de capturar as informações da despesa efetuada, em tempo real.</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5.1.5.7. Em caso de danos involuntários ao cartão destinado ao veículo ou à leitora de cartão, instalada no fornecedor credenciado, ou em situações de força maior (falta de energia elétrica, etc.) a licitante vencedora obriga-se a disponibilizar procedimento de compra contingencial de maneira segura e que garanta a continuidade de registro das informações no sistema, visando não prejudicar a continuidade das atividades operacionais da frota.</w:t>
      </w:r>
    </w:p>
    <w:p>
      <w:pPr>
        <w:spacing w:before="0" w:after="120" w:line="276" w:lineRule="auto"/>
        <w:jc w:val="both"/>
        <w:rPr>
          <w:rFonts w:ascii="Times New Roman" w:hAnsi="Times New Roman" w:cs="Arial"/>
          <w:sz w:val="24"/>
          <w:szCs w:val="24"/>
        </w:rPr>
      </w:pP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5.1.6. - ESPECIFICAÇÃO TÉCNICA DO SISTEMA</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 xml:space="preserve">5.1.6.1. </w:t>
      </w:r>
      <w:r>
        <w:rPr>
          <w:rFonts w:ascii="Times New Roman" w:hAnsi="Times New Roman" w:cs="Arial"/>
          <w:sz w:val="24"/>
          <w:szCs w:val="24"/>
        </w:rPr>
        <w:t>Define-se por serviço informatizado de gerenciamento de frota, em tempo real: a disponibilização e operação de sistema integrado de gerenciamento das despesas e informações dos veículos pertencentes às frotas do contratante, com captura eletrônica e instantânea das transações de consumo, com fornecimento de produtos e serviços automotivos em rede credenciada de fornecedores, mediante ressarcimento; além do fornecimento de aplicativo gerencial para a efetiva gestão e controle.</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5.1.6.2.</w:t>
      </w:r>
      <w:r>
        <w:rPr>
          <w:rFonts w:ascii="Times New Roman" w:hAnsi="Times New Roman" w:cs="Arial"/>
          <w:sz w:val="24"/>
          <w:szCs w:val="24"/>
        </w:rPr>
        <w:t xml:space="preserve"> Módulo integrado de gerenciamento das despesas e informações da frota Aplicativo de Tecnologia da Informação que permite o cadastramento,   parametrização e a integração da rede de fornecedores credenciados, nos quais será utilizados leitoras de cartão magnético que farão a coleta eletrônica instantânea das despesas de produtos e serviços efetuadas.</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5.1.6.3. </w:t>
      </w:r>
      <w:r>
        <w:rPr>
          <w:rFonts w:ascii="Times New Roman" w:hAnsi="Times New Roman" w:cs="Arial"/>
          <w:sz w:val="24"/>
          <w:szCs w:val="24"/>
        </w:rPr>
        <w:t>Aplicativos Mobile o sistema deve possuir aplicativos em Android/IOS de suas principais funções administrativas a fim de tornar ágil o gerenciamento da frota.</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 </w:t>
      </w:r>
      <w:r>
        <w:rPr>
          <w:rFonts w:ascii="Times New Roman" w:hAnsi="Times New Roman" w:cs="Arial"/>
          <w:sz w:val="24"/>
          <w:szCs w:val="24"/>
        </w:rPr>
        <w:t>Aplicativo de gestão, O sistema deve possuir aplicativo para uso de gestores e condutores, compatível com as plataformas Android, IOS e acessíveis via web em formato responsivo com suas principais funções administrativas a fim de tornar ágil o gerenciamento da frota. Funções requeridas nos aplicativos:</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5.1.6.4.1. </w:t>
      </w:r>
      <w:r>
        <w:rPr>
          <w:rFonts w:ascii="Times New Roman" w:hAnsi="Times New Roman" w:cs="Arial"/>
          <w:sz w:val="24"/>
          <w:szCs w:val="24"/>
        </w:rPr>
        <w:t>Consulta de saldo</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5.1.6.4.2. </w:t>
      </w:r>
      <w:r>
        <w:rPr>
          <w:rFonts w:ascii="Times New Roman" w:hAnsi="Times New Roman" w:cs="Arial"/>
          <w:sz w:val="24"/>
          <w:szCs w:val="24"/>
        </w:rPr>
        <w:t>Alteração de saldo</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5.1.6.4.3. </w:t>
      </w:r>
      <w:r>
        <w:rPr>
          <w:rFonts w:ascii="Times New Roman" w:hAnsi="Times New Roman" w:cs="Arial"/>
          <w:sz w:val="24"/>
          <w:szCs w:val="24"/>
        </w:rPr>
        <w:t>Correção do Odômetro</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5.1.6.4.4. </w:t>
      </w:r>
      <w:r>
        <w:rPr>
          <w:rFonts w:ascii="Times New Roman" w:hAnsi="Times New Roman" w:cs="Arial"/>
          <w:sz w:val="24"/>
          <w:szCs w:val="24"/>
        </w:rPr>
        <w:t>Consulta de veículo</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5.1.6.4.5. </w:t>
      </w:r>
      <w:r>
        <w:rPr>
          <w:rFonts w:ascii="Times New Roman" w:hAnsi="Times New Roman" w:cs="Arial"/>
          <w:sz w:val="24"/>
          <w:szCs w:val="24"/>
        </w:rPr>
        <w:t>Consulta de condutor</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5.1.6.4.6. </w:t>
      </w:r>
      <w:r>
        <w:rPr>
          <w:rFonts w:ascii="Times New Roman" w:hAnsi="Times New Roman" w:cs="Arial"/>
          <w:sz w:val="24"/>
          <w:szCs w:val="24"/>
        </w:rPr>
        <w:t>Consulta de fornecedores</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5.1.6.4.7. </w:t>
      </w:r>
      <w:r>
        <w:rPr>
          <w:rFonts w:ascii="Times New Roman" w:hAnsi="Times New Roman" w:cs="Arial"/>
          <w:sz w:val="24"/>
          <w:szCs w:val="24"/>
        </w:rPr>
        <w:t>Consulta de localizações do rastreio</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5.1.6.4.8. </w:t>
      </w:r>
      <w:r>
        <w:rPr>
          <w:rFonts w:ascii="Times New Roman" w:hAnsi="Times New Roman" w:cs="Arial"/>
          <w:sz w:val="24"/>
          <w:szCs w:val="24"/>
        </w:rPr>
        <w:t>Histórico de abastecimento por usuário, veículo e fornecedor.</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5.1.6.5. </w:t>
      </w:r>
      <w:r>
        <w:rPr>
          <w:rFonts w:ascii="Times New Roman" w:hAnsi="Times New Roman" w:cs="Arial"/>
          <w:sz w:val="24"/>
          <w:szCs w:val="24"/>
        </w:rPr>
        <w:t xml:space="preserve">POS virtual, O sistema deve possuir um aplicativo para abastecimento do tipo POS virtual com a validação de abastecimentos e compras de produtos de manutenção como opção alternativa ao fornecedor por motivos de indisponibilidade da POS ou outros motivos como funcionalidade impossíveis de praticadas na POS convencional. Deve conter todas as funcionalidades da POS convencional e dentre as funcionalidades deve conter: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Orçamentação e Compra com Saldo – Possibilitará a compra de peças ou contratação de serviços para a manutenção da frota através de aplicativo mobile, tal aplicativo permitirá a validação da compra via QR code, para retirada dos itens comprados em balcão e também para solicitação dos itens feitos pelo gestor autorizado da Prefeitura Municipal. </w:t>
      </w:r>
    </w:p>
    <w:p>
      <w:pPr>
        <w:spacing w:before="0" w:after="120" w:line="276" w:lineRule="auto"/>
        <w:jc w:val="both"/>
        <w:rPr>
          <w:rFonts w:ascii="Times New Roman" w:hAnsi="Times New Roman" w:cs="Arial"/>
          <w:sz w:val="24"/>
          <w:szCs w:val="24"/>
        </w:rPr>
      </w:pPr>
      <w:r>
        <w:rPr>
          <w:rFonts w:ascii="Times New Roman" w:hAnsi="Times New Roman" w:cs="Arial"/>
          <w:b w:val="0"/>
          <w:bCs w:val="0"/>
          <w:sz w:val="24"/>
          <w:szCs w:val="24"/>
        </w:rPr>
        <w:t xml:space="preserve">5.1.6.6. </w:t>
      </w:r>
      <w:r>
        <w:rPr>
          <w:rFonts w:ascii="Times New Roman" w:hAnsi="Times New Roman" w:cs="Arial"/>
          <w:sz w:val="24"/>
          <w:szCs w:val="24"/>
        </w:rPr>
        <w:t>Voucher - O sistema possibilitará o abastecimento através de voucher virtual de uso único para abastecimentos eventuais de veículos novos ainda sem cartão ou veículos alugados pela prefeitura. Tal funcionalidade é necessária para possibilitar o controle e gerenciamento de veículos ainda sem cartão, situação que ocorre na aquisição de um veículo novo, bem como na locação de frotas. Com ele a gestão consegue controlar e gerir o abastecimento e consumo sem perder qualquer abastecimento, dando controle e transparência para administração pública.” A emissão de Voucher é uma função simples e de fácil implantação, portanto não restringe nem impossibilita qualquer empresa de fornecer esse serviço.</w:t>
      </w: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5.1.7. Cadastramento do Administrador do Sistema</w:t>
      </w:r>
    </w:p>
    <w:p>
      <w:pPr>
        <w:spacing w:before="0" w:after="120" w:line="276" w:lineRule="auto"/>
        <w:jc w:val="both"/>
        <w:rPr>
          <w:rFonts w:ascii="Times New Roman" w:hAnsi="Times New Roman"/>
          <w:sz w:val="24"/>
          <w:szCs w:val="24"/>
        </w:rPr>
      </w:pPr>
      <w:r>
        <w:rPr>
          <w:rFonts w:ascii="Times New Roman" w:hAnsi="Times New Roman" w:cs="Arial"/>
          <w:sz w:val="24"/>
          <w:szCs w:val="24"/>
        </w:rPr>
        <w:t>5.1.7.1. A CONTRATANTE designará servidor para exercer esta função, sendo que o mesmo irá operar, gerenciar e manter as informações pertinentes ao uso do sistema, bem como cadastramento dos usuários que terão acesso apenas às informações através de relatórios e telas de consulta. Toda operação se dará mediante identificação e senha pessoal e intransferível.</w:t>
      </w:r>
    </w:p>
    <w:p>
      <w:pPr>
        <w:spacing w:before="0" w:after="120" w:line="276" w:lineRule="auto"/>
        <w:jc w:val="both"/>
        <w:rPr>
          <w:rFonts w:ascii="Times New Roman" w:hAnsi="Times New Roman" w:cs="Arial"/>
          <w:sz w:val="24"/>
          <w:szCs w:val="24"/>
        </w:rPr>
      </w:pPr>
      <w:r>
        <w:rPr>
          <w:rFonts w:ascii="Times New Roman" w:hAnsi="Times New Roman" w:cs="Arial"/>
          <w:b/>
          <w:bCs/>
          <w:sz w:val="24"/>
          <w:szCs w:val="24"/>
        </w:rPr>
        <w:t>5.1.8. Cadastramento dos veículos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5.1.8.1.No mínimo, as seguintes informações deverão constar do cadastro: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5.1.8.1.1.Tipo;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5.1.8.1.2. Placa;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5.1.8.1.3. Chassi;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5.1.8.1.4. Marca;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5.1.8.1.5. Centro de Custo (se houver);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5.1.8.1.6. Tipo de Combustível;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5.1.8.1.7. Capacidade do Tanque (litros);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5.1.8.1.8. Quilômetros rodados - marcação do hodômetro;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5.1.8.1.9. Dados da vida mecânica do veículo.</w:t>
      </w:r>
    </w:p>
    <w:p>
      <w:pPr>
        <w:spacing w:before="0" w:after="120" w:line="276" w:lineRule="auto"/>
        <w:jc w:val="both"/>
        <w:rPr>
          <w:rFonts w:ascii="Times New Roman" w:hAnsi="Times New Roman" w:cs="Arial"/>
          <w:sz w:val="24"/>
          <w:szCs w:val="24"/>
        </w:rPr>
      </w:pPr>
    </w:p>
    <w:p>
      <w:pPr>
        <w:spacing w:before="0" w:after="120" w:line="276" w:lineRule="auto"/>
        <w:ind w:left="0" w:right="0" w:firstLine="0"/>
        <w:jc w:val="both"/>
        <w:rPr>
          <w:rFonts w:ascii="Times New Roman" w:hAnsi="Times New Roman" w:cs="Arial"/>
          <w:b/>
          <w:bCs/>
          <w:sz w:val="24"/>
          <w:szCs w:val="24"/>
        </w:rPr>
      </w:pPr>
      <w:r>
        <w:rPr>
          <w:rFonts w:ascii="Times New Roman" w:hAnsi="Times New Roman" w:cs="Arial"/>
          <w:b/>
          <w:bCs/>
          <w:sz w:val="24"/>
          <w:szCs w:val="24"/>
        </w:rPr>
        <w:t>5.1.9. Cadastramento dos condutores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5.1.9.1. No mínimo, as seguintes informações deverão constar do cadastro: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5.1.9.1.1. Nome;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5.1.9.1.2. Matrícula funcional;</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5.1.9.1.3. Centro de Custo (se houver);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5.1.9.1.4. Senha de permissão de uso (pessoal e intransferível);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5.1.9.1.5. Carteira Nacional de Habilitação.</w:t>
      </w:r>
    </w:p>
    <w:p>
      <w:pPr>
        <w:spacing w:before="0" w:after="120" w:line="276" w:lineRule="auto"/>
        <w:jc w:val="both"/>
        <w:rPr>
          <w:rFonts w:ascii="Times New Roman" w:hAnsi="Times New Roman" w:cs="Arial"/>
          <w:sz w:val="24"/>
          <w:szCs w:val="24"/>
        </w:rPr>
      </w:pP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5.1.10. Parametrização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5.1.10.1. No mínimo, os seguintes parâmetros deverão estar disponíveis para controle e gerenciamento do uso e despesas: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 xml:space="preserve">5.1.10.1.1. Limite de crédito de despesas para cada veículo por transação; </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5.1.10.1.2. Limite de crédito de despesas mensal para cada veículo;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5.1.10.1.3. Limite de crédito de despesas mensal para a frota;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5.1.10.1.4. Limite de preço unitário máximo por tipo de combustível para a frota.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5.1.10.1.5. Os limites estabelecidos não poderão ser ultrapassados sem expressa autorização e registro no sistema pelo Administrador. As alterações autorizadas, pelo Administrador, dos limites deverão ser validadas em tempo real.</w:t>
      </w: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5.1.11. O sistema deverá emitir Comprovante da Transação de Despesa, independentemente da solicitação do condutor, contendo as seguintes informações: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5.1.11.1. identificação do fornecedor (nome, cnpj, endereço) identificação do veículo (placa)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5.1.11.2. identificação do condutor (nome e matrícula)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5.1.11.3. marcação do hodômetro do veículo no momento da transação, tipo de combustível, produtos ou serviços comprados, quantidade de combustível, produtos ou serviços comprados, valor unitário e total da transação, data e hora da transação.</w:t>
      </w:r>
    </w:p>
    <w:p>
      <w:pPr>
        <w:spacing w:before="0" w:after="120" w:line="276" w:lineRule="auto"/>
        <w:jc w:val="both"/>
        <w:rPr>
          <w:rFonts w:ascii="Times New Roman" w:hAnsi="Times New Roman" w:cs="Arial"/>
          <w:b/>
          <w:bCs/>
          <w:sz w:val="24"/>
          <w:szCs w:val="24"/>
        </w:rPr>
      </w:pPr>
      <w:r>
        <w:rPr>
          <w:rFonts w:ascii="Times New Roman" w:hAnsi="Times New Roman" w:cs="Arial"/>
          <w:b/>
          <w:bCs/>
          <w:sz w:val="24"/>
          <w:szCs w:val="24"/>
        </w:rPr>
        <w:t>5.1.12. O sistema deverá permitir o registro da negociação de preços de combustíveis e serviços com os postos da rede credenciada, visando obter redução do preço de bomba dos combustíveis. Bem como o registro das negociações de preços de peças, prestações de serviços, e locação realizadas com os fornecedores da rede credenciada, gerando condições da contratada obter redução dos preços e garantir qualidade nas aquisições.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5.1.13. Da rede credenciada de fornecedores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5.1.13.1. Todos os fornecedores credenciados deverão estar equipados para aceitar e transmitir, em tempo real, as transações das despesas efetuadas com os cartões magnéticos identificadores dos veículos da frota da CONTRATANTE.</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5.1.13.2. A reparação automotiva, revisões preventivas e corretivas serão realizadas através da rede credenciada de oficinas, aos veículos da Frota da Câmara Municipal;</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5.1.13.3. Atender no prazo máximo de 24 (vinte e quatro) horas a toda e quaisquer solicitações que venha a receber da CONTRATANTE, preferencialmente com serviços de leva e traz.</w:t>
      </w:r>
    </w:p>
    <w:p>
      <w:pPr>
        <w:spacing w:before="0" w:after="120" w:line="276" w:lineRule="auto"/>
        <w:jc w:val="both"/>
        <w:rPr>
          <w:rFonts w:ascii="Times New Roman" w:hAnsi="Times New Roman" w:cs="Arial"/>
          <w:sz w:val="24"/>
          <w:szCs w:val="24"/>
        </w:rPr>
      </w:pPr>
      <w:r>
        <w:rPr>
          <w:rFonts w:ascii="Times New Roman" w:hAnsi="Times New Roman" w:cs="Arial"/>
          <w:b/>
          <w:bCs/>
          <w:sz w:val="24"/>
          <w:szCs w:val="24"/>
        </w:rPr>
        <w:t>5.1.14. Revisões em concessionárias, conforme marca dos veículos em período de garantia ou quando da aquisição de novos;</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5.1.14.1. Deverá a Contratada disponibilizar/credenciar rede concessionária autorizada do respectivo fabricante do veículo, para fim de atendimento dos veículos em período de garantia.</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5.1.15. Na impossibilidade de atendimento do veículo na localidade em que se encontra, deverá à contratada disponibilizar concessionária credenciada na localidade mais próxima, caso esta não seja a concessionária mais próxima existente, a contratada será responsável pelo deslocamento do veículo.</w:t>
      </w:r>
    </w:p>
    <w:p>
      <w:pPr>
        <w:spacing w:before="0" w:after="120" w:line="276" w:lineRule="auto"/>
        <w:jc w:val="both"/>
        <w:rPr>
          <w:rFonts w:ascii="Times New Roman" w:hAnsi="Times New Roman" w:cs="Arial"/>
          <w:sz w:val="24"/>
          <w:szCs w:val="24"/>
        </w:rPr>
      </w:pPr>
      <w:r>
        <w:rPr>
          <w:rFonts w:ascii="Times New Roman" w:hAnsi="Times New Roman" w:cs="Arial"/>
          <w:sz w:val="24"/>
          <w:szCs w:val="24"/>
        </w:rPr>
        <w:t>5.1.16. O atendimento dos serviços deverá ocorrer, por intermédio de rede de estabelecimentos credenciados, disponibilizada pela empresa CONTRATADA;</w:t>
      </w:r>
    </w:p>
    <w:p>
      <w:pPr>
        <w:spacing w:before="0" w:after="0" w:line="276" w:lineRule="auto"/>
        <w:jc w:val="both"/>
        <w:rPr>
          <w:rFonts w:ascii="Times New Roman" w:hAnsi="Times New Roman" w:cs="Arial"/>
          <w:bCs/>
          <w:sz w:val="24"/>
          <w:szCs w:val="24"/>
        </w:rPr>
      </w:pPr>
    </w:p>
    <w:p>
      <w:pPr>
        <w:spacing w:before="0" w:after="120" w:line="276" w:lineRule="auto"/>
        <w:jc w:val="both"/>
        <w:rPr>
          <w:rFonts w:ascii="Times New Roman" w:hAnsi="Times New Roman"/>
          <w:sz w:val="24"/>
          <w:szCs w:val="24"/>
        </w:rPr>
      </w:pPr>
      <w:r>
        <w:rPr>
          <w:rFonts w:ascii="Times New Roman" w:hAnsi="Times New Roman" w:cs="Arial"/>
          <w:b/>
          <w:sz w:val="24"/>
          <w:szCs w:val="24"/>
        </w:rPr>
        <w:t xml:space="preserve">6. </w:t>
      </w:r>
      <w:r>
        <w:rPr>
          <w:rFonts w:ascii="Times New Roman" w:hAnsi="Times New Roman"/>
          <w:b/>
          <w:sz w:val="24"/>
          <w:szCs w:val="24"/>
        </w:rPr>
        <w:t xml:space="preserve"> DA </w:t>
      </w:r>
      <w:r>
        <w:rPr>
          <w:rFonts w:ascii="Times New Roman" w:hAnsi="Times New Roman" w:cs="Arial"/>
          <w:b/>
          <w:sz w:val="24"/>
          <w:szCs w:val="24"/>
        </w:rPr>
        <w:t>EXECUÇÃO DOS SERVIÇOS E LOCAIS DE ATENDIMENTO: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6.1. Para fornecimento dos serviços e produtos objeto desse Termo de Referência, a Contratada deverá implantar e operacionalizar junto à Contratante um sistema informatizado em ambiente web, que possibilite o acompanhamento do fornecimento de combustíveis com informações detalhadas, e que seja compatível, no mínimo, com os sistemas operacionais Windows e Linux, e com os navegadores Mozilla e Google Chrome, que são comumente utilizados no mercado.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6.2. A Contratada deverá ter sistema, próprio ou contratado, de gerenciamento eletrônico nas unidades de abastecimento (postos de combustíveis);</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 xml:space="preserve">6.3. A </w:t>
      </w:r>
      <w:r>
        <w:rPr>
          <w:rFonts w:ascii="Times New Roman" w:hAnsi="Times New Roman" w:cs="Arial"/>
          <w:sz w:val="24"/>
          <w:szCs w:val="24"/>
        </w:rPr>
        <w:t xml:space="preserve">utilização dos cartões magnéticos se dará através do uso de uma senha individual para cada usuário, de forma que o responsável pelo abastecimento seja identificado. Este sistema deve permitir que qualquer veículo oficial seja abastecido por </w:t>
      </w:r>
      <w:r>
        <w:rPr>
          <w:rFonts w:ascii="Times New Roman" w:hAnsi="Times New Roman" w:cs="Arial"/>
          <w:b w:val="0"/>
          <w:bCs w:val="0"/>
          <w:sz w:val="24"/>
          <w:szCs w:val="24"/>
        </w:rPr>
        <w:t>qualquer usuário cadastrado em qualquer posto da rede credenciada, possibilitando, ainda, a emissão de relatórios, a qualquer tempo;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6.4. O limite do cartão será determinado pela Contratante, que poderá ser alterado a qualquer tempo;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6.5. O sistema de gerenciamento eletrônico dos postos de abastecimento deverá possuir os requisitos mínimos para emitir e fornecer, a cada operação e por geração automática eletrônica, comprovante de abastecimento no qual deverão constar: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6.5.1. Identificação do condutor;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6.5.2. Data e hora do abastecimento;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6.5.3. Tipo de combustível;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6.5.4. Litragem abastecida e o respectivo valor total em reais;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6.5.5. Placa do veículo;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6.5.6. Quilometragem registrada em seu hodômetro;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6.5.7. Média de consumo por abastecimento;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6.6. Os combustíveis serão recusados no caso de densidade fora dos padrões, erro quanto ao produto solicitado, volume menor que o solicitado, contaminação por quaisquer elementos não permitidos em sua composição e a presença de outras substâncias, em percentuais além dos permitidos em sua composição;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6.7. O combustível recusado deverá ser substituído no prazo máximo de 24 (vinte e quatro) horas, contadas a partir do momento da formalização da recusa pela CONTRATANTE;</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6.8. A Contratada deverá garantir o abastecimento quando o sistema estiver “off-line”, sem prejuízos para a Contratante;</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6.9. As solicitações dos combustíveis serão parceladas, conforme a necessidade diária de cada Secretaria for se concretizando.</w:t>
      </w:r>
    </w:p>
    <w:p>
      <w:pPr>
        <w:spacing w:line="276" w:lineRule="auto"/>
        <w:jc w:val="both"/>
        <w:rPr>
          <w:rFonts w:ascii="Times New Roman" w:hAnsi="Times New Roman"/>
          <w:sz w:val="24"/>
          <w:szCs w:val="24"/>
        </w:rPr>
      </w:pPr>
      <w:r>
        <w:rPr>
          <w:rFonts w:ascii="Times New Roman" w:hAnsi="Times New Roman" w:cs="Arial"/>
          <w:b w:val="0"/>
          <w:bCs w:val="0"/>
          <w:sz w:val="24"/>
          <w:szCs w:val="24"/>
        </w:rPr>
        <w:t xml:space="preserve">6.10. O </w:t>
      </w:r>
      <w:r>
        <w:rPr>
          <w:rFonts w:ascii="Times New Roman" w:hAnsi="Times New Roman" w:cs="Arial"/>
          <w:sz w:val="24"/>
          <w:szCs w:val="24"/>
        </w:rPr>
        <w:t>fornecimento se dará dentro do Estado do Mato Grosso, cidades de</w:t>
      </w:r>
      <w:r>
        <w:rPr>
          <w:rFonts w:ascii="Times New Roman" w:hAnsi="Times New Roman" w:cs="Arial"/>
          <w:b/>
          <w:bCs/>
          <w:sz w:val="24"/>
          <w:szCs w:val="24"/>
        </w:rPr>
        <w:t xml:space="preserve"> Primavera do Leste, Cuiabá, Rondonópolis, Campo Verde, Barra do Garças, Água Boa, Nova Mutum, Sinop, Nobres, Alto Araguaia, Sorriso, Nova Xavantina e Várzea Grande, e no Estado de Goiás (Cidade de Goiânia) e em Brasília (Distrito Federal)</w:t>
      </w:r>
      <w:r>
        <w:rPr>
          <w:rFonts w:ascii="Times New Roman" w:hAnsi="Times New Roman" w:cs="Arial"/>
          <w:sz w:val="24"/>
          <w:szCs w:val="24"/>
        </w:rPr>
        <w:t>, onde a Contratada deverá possuir no mínimo um estabelecimento credenciado para execute os serviços, podendo ofertar também c</w:t>
      </w:r>
      <w:r>
        <w:rPr>
          <w:rFonts w:ascii="Times New Roman" w:hAnsi="Times New Roman" w:cs="Arial"/>
          <w:b w:val="0"/>
          <w:bCs w:val="0"/>
          <w:sz w:val="24"/>
          <w:szCs w:val="24"/>
        </w:rPr>
        <w:t xml:space="preserve">redenciamentos em outras localidades além das descritas. </w:t>
      </w:r>
    </w:p>
    <w:p>
      <w:pPr>
        <w:spacing w:line="276" w:lineRule="auto"/>
        <w:jc w:val="both"/>
        <w:rPr>
          <w:rFonts w:ascii="Times New Roman" w:hAnsi="Times New Roman" w:cs="Arial"/>
          <w:b w:val="0"/>
          <w:bCs w:val="0"/>
          <w:sz w:val="24"/>
          <w:szCs w:val="24"/>
        </w:rPr>
      </w:pPr>
      <w:r>
        <w:rPr>
          <w:rFonts w:ascii="Times New Roman" w:hAnsi="Times New Roman" w:cs="Arial"/>
          <w:b w:val="0"/>
          <w:bCs w:val="0"/>
          <w:sz w:val="24"/>
          <w:szCs w:val="24"/>
        </w:rPr>
        <w:t>6.11. Poderão ser abastecidos também os maquinários ou equipamentos da Contratante que necessitarem, devendo estes ter cartão especial de identificação com os mesmos dados utilizados para os veículos (conforme disponham) .</w:t>
      </w:r>
    </w:p>
    <w:p>
      <w:pPr>
        <w:spacing w:line="276" w:lineRule="auto"/>
        <w:jc w:val="both"/>
        <w:rPr>
          <w:rFonts w:ascii="Times New Roman" w:hAnsi="Times New Roman"/>
          <w:sz w:val="24"/>
          <w:szCs w:val="24"/>
        </w:rPr>
      </w:pPr>
      <w:r>
        <w:rPr>
          <w:rFonts w:ascii="Times New Roman" w:hAnsi="Times New Roman" w:cs="Arial"/>
          <w:b w:val="0"/>
          <w:bCs w:val="0"/>
          <w:sz w:val="24"/>
          <w:szCs w:val="24"/>
        </w:rPr>
        <w:t xml:space="preserve">6.12. </w:t>
      </w:r>
      <w:r>
        <w:rPr>
          <w:rFonts w:ascii="Times New Roman" w:hAnsi="Times New Roman" w:cs="Arial"/>
          <w:sz w:val="24"/>
          <w:szCs w:val="24"/>
        </w:rPr>
        <w:t>Promoções, descontos e vantagens deverão se estender à Contratante.</w:t>
      </w:r>
    </w:p>
    <w:p>
      <w:pPr>
        <w:spacing w:line="276" w:lineRule="auto"/>
        <w:jc w:val="both"/>
        <w:rPr>
          <w:rFonts w:ascii="Times New Roman" w:hAnsi="Times New Roman" w:cs="Arial"/>
          <w:b/>
          <w:sz w:val="24"/>
          <w:szCs w:val="24"/>
        </w:rPr>
      </w:pPr>
    </w:p>
    <w:p>
      <w:pPr>
        <w:spacing w:line="276" w:lineRule="auto"/>
        <w:jc w:val="both"/>
        <w:rPr>
          <w:rFonts w:ascii="Times New Roman" w:hAnsi="Times New Roman" w:cs="Arial"/>
          <w:b/>
          <w:sz w:val="24"/>
          <w:szCs w:val="24"/>
        </w:rPr>
      </w:pPr>
      <w:r>
        <w:rPr>
          <w:rFonts w:ascii="Times New Roman" w:hAnsi="Times New Roman" w:cs="Arial"/>
          <w:b/>
          <w:sz w:val="24"/>
          <w:szCs w:val="24"/>
        </w:rPr>
        <w:t>7. DO PERÍODO DE VIGÊNCIA:</w:t>
      </w:r>
    </w:p>
    <w:p>
      <w:pPr>
        <w:spacing w:line="276" w:lineRule="auto"/>
        <w:jc w:val="both"/>
        <w:rPr>
          <w:rFonts w:ascii="Times New Roman" w:hAnsi="Times New Roman" w:cs="Arial"/>
          <w:b w:val="0"/>
          <w:bCs w:val="0"/>
          <w:sz w:val="24"/>
          <w:szCs w:val="24"/>
        </w:rPr>
      </w:pPr>
      <w:r>
        <w:rPr>
          <w:rFonts w:ascii="Times New Roman" w:hAnsi="Times New Roman" w:cs="Arial"/>
          <w:b w:val="0"/>
          <w:bCs w:val="0"/>
          <w:sz w:val="24"/>
          <w:szCs w:val="24"/>
        </w:rPr>
        <w:t>7.1. O período de vigência da Ata de Registro de Preços será de 12 meses, podendo ser prorrogado por igual período, conforme art. 84 da Lei 14.133/2021.</w:t>
      </w:r>
    </w:p>
    <w:p>
      <w:pPr>
        <w:spacing w:line="276" w:lineRule="auto"/>
        <w:jc w:val="both"/>
        <w:rPr>
          <w:rFonts w:ascii="Times New Roman" w:hAnsi="Times New Roman" w:cs="Arial"/>
          <w:b w:val="0"/>
          <w:bCs w:val="0"/>
          <w:sz w:val="24"/>
          <w:szCs w:val="24"/>
        </w:rPr>
      </w:pPr>
      <w:r>
        <w:rPr>
          <w:rFonts w:ascii="Times New Roman" w:hAnsi="Times New Roman" w:cs="Arial"/>
          <w:b w:val="0"/>
          <w:bCs w:val="0"/>
          <w:sz w:val="24"/>
          <w:szCs w:val="24"/>
        </w:rPr>
        <w:t>7.2. O período de vigência do Contrato será de 12 meses, podendo ser prorrogado conforme art. 107 da Lei 14.133/2021.</w:t>
      </w:r>
    </w:p>
    <w:p>
      <w:pPr>
        <w:spacing w:line="276" w:lineRule="auto"/>
        <w:jc w:val="both"/>
        <w:rPr>
          <w:rFonts w:ascii="Times New Roman" w:hAnsi="Times New Roman" w:cs="Arial"/>
          <w:b w:val="0"/>
          <w:bCs w:val="0"/>
          <w:sz w:val="24"/>
          <w:szCs w:val="24"/>
        </w:rPr>
      </w:pPr>
      <w:r>
        <w:rPr>
          <w:rFonts w:ascii="Times New Roman" w:hAnsi="Times New Roman" w:cs="Arial"/>
          <w:b w:val="0"/>
          <w:bCs w:val="0"/>
          <w:sz w:val="24"/>
          <w:szCs w:val="24"/>
        </w:rPr>
        <w:t>7.3. A vigência da Ata de Registro de Preços e do Contrato será contado a partir da data de sua assinatura, tendo eficácia legal após a publicação no Diário Oficial</w:t>
      </w:r>
    </w:p>
    <w:p>
      <w:pPr>
        <w:spacing w:line="276" w:lineRule="auto"/>
        <w:jc w:val="both"/>
        <w:rPr>
          <w:rFonts w:ascii="Times New Roman" w:hAnsi="Times New Roman" w:cs="Arial"/>
          <w:sz w:val="24"/>
          <w:szCs w:val="24"/>
        </w:rPr>
      </w:pPr>
    </w:p>
    <w:p>
      <w:pPr>
        <w:spacing w:line="276" w:lineRule="auto"/>
        <w:jc w:val="both"/>
        <w:rPr>
          <w:rFonts w:ascii="Times New Roman" w:hAnsi="Times New Roman" w:cs="Arial"/>
          <w:b/>
          <w:sz w:val="24"/>
          <w:szCs w:val="24"/>
        </w:rPr>
      </w:pPr>
      <w:r>
        <w:rPr>
          <w:rFonts w:ascii="Times New Roman" w:hAnsi="Times New Roman" w:cs="Arial"/>
          <w:b/>
          <w:sz w:val="24"/>
          <w:szCs w:val="24"/>
        </w:rPr>
        <w:t>8. DO CRITÉRIO DE JULGAMENTO:</w:t>
      </w:r>
    </w:p>
    <w:p>
      <w:pPr>
        <w:spacing w:line="276" w:lineRule="auto"/>
        <w:jc w:val="both"/>
        <w:rPr>
          <w:rFonts w:ascii="Times New Roman" w:hAnsi="Times New Roman"/>
          <w:sz w:val="24"/>
          <w:szCs w:val="24"/>
        </w:rPr>
      </w:pPr>
      <w:r>
        <w:rPr>
          <w:rFonts w:ascii="Times New Roman" w:hAnsi="Times New Roman" w:cs="Arial"/>
          <w:b w:val="0"/>
          <w:bCs w:val="0"/>
          <w:sz w:val="24"/>
          <w:szCs w:val="24"/>
        </w:rPr>
        <w:t>8.1.</w:t>
      </w:r>
      <w:r>
        <w:rPr>
          <w:rFonts w:ascii="Times New Roman" w:hAnsi="Times New Roman" w:cs="Arial"/>
          <w:sz w:val="24"/>
          <w:szCs w:val="24"/>
        </w:rPr>
        <w:t xml:space="preserve"> O critério de julgamento das propostas para o Serviço de Gerenciamento de Frotas será o de </w:t>
      </w:r>
      <w:r>
        <w:rPr>
          <w:rFonts w:hint="default" w:ascii="Times New Roman" w:hAnsi="Times New Roman" w:cs="Arial"/>
          <w:b/>
          <w:bCs/>
          <w:sz w:val="24"/>
          <w:szCs w:val="24"/>
          <w:lang w:val="pt-BR"/>
        </w:rPr>
        <w:t>MENOR TAXA</w:t>
      </w:r>
      <w:r>
        <w:rPr>
          <w:rFonts w:ascii="Times New Roman" w:hAnsi="Times New Roman" w:cs="Arial"/>
          <w:sz w:val="24"/>
          <w:szCs w:val="24"/>
        </w:rPr>
        <w:t>.</w:t>
      </w:r>
    </w:p>
    <w:p>
      <w:pPr>
        <w:spacing w:line="276" w:lineRule="auto"/>
        <w:jc w:val="both"/>
        <w:rPr>
          <w:rFonts w:ascii="Times New Roman" w:hAnsi="Times New Roman" w:cs="Times New Roman"/>
          <w:sz w:val="24"/>
          <w:szCs w:val="24"/>
        </w:rPr>
      </w:pPr>
    </w:p>
    <w:p>
      <w:pPr>
        <w:spacing w:before="0" w:after="120" w:line="276" w:lineRule="auto"/>
        <w:jc w:val="both"/>
        <w:rPr>
          <w:rFonts w:ascii="Times New Roman" w:hAnsi="Times New Roman" w:cs="Arial"/>
          <w:b/>
          <w:sz w:val="24"/>
          <w:szCs w:val="24"/>
        </w:rPr>
      </w:pPr>
      <w:r>
        <w:rPr>
          <w:rFonts w:ascii="Times New Roman" w:hAnsi="Times New Roman" w:cs="Arial"/>
          <w:b/>
          <w:sz w:val="24"/>
          <w:szCs w:val="24"/>
        </w:rPr>
        <w:t>9. DAS OBRIGAÇÕES DA CONTRATADA:</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9.1. A CONTRATADA obriga-se a: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9.1.1. Apresentar relação de sua rede credenciada, apta e com disponibilidade de fornecimento dos combustíveis descritos na cláusula de especificações, mantendo sempre listagem da mesma atualizada, com respectivos telefones, endereços e horários de funcionamento. </w:t>
      </w:r>
    </w:p>
    <w:p>
      <w:pPr>
        <w:spacing w:before="0" w:after="120" w:line="276" w:lineRule="auto"/>
        <w:jc w:val="both"/>
        <w:rPr>
          <w:rFonts w:ascii="Times New Roman" w:hAnsi="Times New Roman"/>
          <w:b w:val="0"/>
          <w:bCs w:val="0"/>
          <w:sz w:val="24"/>
          <w:szCs w:val="24"/>
        </w:rPr>
      </w:pPr>
      <w:r>
        <w:rPr>
          <w:rFonts w:ascii="Times New Roman" w:hAnsi="Times New Roman" w:cs="Arial"/>
          <w:b w:val="0"/>
          <w:bCs w:val="0"/>
          <w:sz w:val="24"/>
          <w:szCs w:val="24"/>
        </w:rPr>
        <w:t>9.1.2.</w:t>
      </w:r>
      <w:r>
        <w:rPr>
          <w:rFonts w:ascii="Times New Roman" w:hAnsi="Times New Roman" w:cs="Arial"/>
          <w:b w:val="0"/>
          <w:bCs w:val="0"/>
          <w:sz w:val="24"/>
          <w:szCs w:val="24"/>
          <w:lang w:val="pt-PT"/>
        </w:rPr>
        <w:t xml:space="preserve"> Não transferir a terceiros, por qualquer forma, a Ata de Registro de Preços resultante desta contratação, sem o prévio consentimento por escrito da Contratante;</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9.1.3. R</w:t>
      </w:r>
      <w:r>
        <w:rPr>
          <w:rFonts w:ascii="Times New Roman" w:hAnsi="Times New Roman" w:cs="Arial"/>
          <w:sz w:val="24"/>
          <w:szCs w:val="24"/>
        </w:rPr>
        <w:t>esponsabilizar-se inteiramente pela qualidade dos combustíveis fornecidos pelos postos de revenda credenciados, ficando sob sua responsabilidade o controle e a fiscalização, conforme as normas do fabricante e as exigências legais da Agência Nacional do Petróleo – ANP, ficando incumbida de comunicar imediatamente à Contratantes situações de constatação de adulteração de combustíveis, infrações legais ou normativas apuradas, bem como proceder a denúncia às autoridades competentes e a adoção de medidas paralelas necessárias;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9.1.4. Fornecer os combustíveis dentro das especificações normativas da Agência Nacional de Petróleo – ANP e do INMETRO;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9.1.5. Não serão aceitos, sob hipótese alguma, produtos adulterados ou fora dos padrões de qualidade exigidos pelas legislações vigentes;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9.1.6. Reembolsar pontualmente a rede de estabelecimentos credenciados, não permitindo que haja qualquer tipo de problema no fornecimento por razões dessa natureza ou de qualquer outra natureza, bem como apresentar o comprovante do respectivo pagamento à mesma sempre que solicitado pela Contratante;</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9.1.7. Reparar, corrigir, remover, reconstruir ou substituir, as suas expensas, no todo ou em parte, o objeto deste Contrato, em que se verificarem vícios, defeitos ou incorreções resultantes da entrega, salvo quando o defeito for, comprovadamente, provocado por uso indevido;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9.1.8. Responsabilizar-se pelas despesas dos tributos, encargos trabalhistas, previdenciários, fiscais, comerciais, taxas, fretes, seguros, deslocamento de pessoal, prestação de garantia, implantações de sistemas, instalações de equipamentos, credenciamentos de rede, manutenções, treinamentos e quaisquer outras que incidam ou venham a incidir na execução do contrato;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9.1.9. Arcar com a responsabilidade civil por todos e quaisquer danos materiais e morais causados pela ação ou omissão de seus empregados, trabalhadores, prepostos ou representantes, dolosa ou culposamente, à Contratante;</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9.1.10. Cumprir e fazer cumprir seus prepostos ou conveniados, leis, regulamentos e posturas, bem como quaisquer determinações emanadas das autoridades competentes, pertinentes à matéria objeto deste termo de referência, cabendo-lhe única e exclusiva responsabilidade pelas consequências de qualquer transgressão de seus prepostos ou convenentes;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9.1.11. Disponibilizar formas de cancelamento imediato de cartões em caso de extravio ou destruição, providenciando a substituição a partir da comunicação da Secretaria à Contratada, sem custos adicionais à Contratante;</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 xml:space="preserve">9.2. </w:t>
      </w:r>
      <w:r>
        <w:rPr>
          <w:rFonts w:ascii="Times New Roman" w:hAnsi="Times New Roman" w:cs="Arial"/>
          <w:sz w:val="24"/>
          <w:szCs w:val="24"/>
        </w:rPr>
        <w:t>Os Cartões Eletrônicos deverão ser emitidos no quantitativo solicitado e determinado, em prazo não superior a 48 quarenta e oito horas (inclusive em casos de reemissão), ser enumerados, controlados, individualizados, vinculados aos veículos oficiais da Câmara Municipal</w:t>
      </w:r>
      <w:r>
        <w:rPr>
          <w:rFonts w:ascii="Times New Roman" w:hAnsi="Times New Roman" w:cs="Arial"/>
          <w:sz w:val="24"/>
          <w:szCs w:val="24"/>
          <w:shd w:val="clear" w:fill="auto"/>
        </w:rPr>
        <w:t xml:space="preserve"> e entregues no endereço da contratante, </w:t>
      </w:r>
      <w:r>
        <w:rPr>
          <w:rFonts w:ascii="Times New Roman" w:hAnsi="Times New Roman" w:cs="Arial"/>
          <w:b/>
          <w:sz w:val="24"/>
          <w:szCs w:val="24"/>
          <w:shd w:val="clear" w:fill="auto"/>
        </w:rPr>
        <w:t>sem qualquer geração de custos adicionais.</w:t>
      </w:r>
      <w:r>
        <w:rPr>
          <w:rFonts w:ascii="Times New Roman" w:hAnsi="Times New Roman" w:cs="Arial"/>
          <w:sz w:val="24"/>
          <w:szCs w:val="24"/>
          <w:shd w:val="clear" w:fill="auto"/>
        </w:rPr>
        <w:t xml:space="preserve"> </w:t>
      </w:r>
    </w:p>
    <w:p>
      <w:pPr>
        <w:spacing w:before="0" w:after="120" w:line="276" w:lineRule="auto"/>
        <w:jc w:val="both"/>
        <w:rPr>
          <w:rFonts w:ascii="Times New Roman" w:hAnsi="Times New Roman"/>
          <w:b w:val="0"/>
          <w:bCs w:val="0"/>
          <w:sz w:val="24"/>
          <w:szCs w:val="24"/>
        </w:rPr>
      </w:pPr>
      <w:r>
        <w:rPr>
          <w:rFonts w:ascii="Times New Roman" w:hAnsi="Times New Roman" w:cs="Arial"/>
          <w:b w:val="0"/>
          <w:bCs w:val="0"/>
          <w:sz w:val="24"/>
          <w:szCs w:val="24"/>
        </w:rPr>
        <w:t>9.3. Os Cartões Eletrônicos somente deverão ser emitidos através de solicitação expressa da Câmara Municipal, que fornecerão informações mínimas para confecção, tais como: Órgão solicitante, Placa e Modelo do veículo;</w:t>
      </w:r>
    </w:p>
    <w:p>
      <w:pPr>
        <w:spacing w:before="0" w:after="120" w:line="276" w:lineRule="auto"/>
        <w:jc w:val="both"/>
        <w:rPr>
          <w:rFonts w:ascii="Times New Roman" w:hAnsi="Times New Roman"/>
          <w:b w:val="0"/>
          <w:bCs w:val="0"/>
          <w:sz w:val="24"/>
          <w:szCs w:val="24"/>
        </w:rPr>
      </w:pPr>
      <w:r>
        <w:rPr>
          <w:rFonts w:ascii="Times New Roman" w:hAnsi="Times New Roman" w:cs="Arial"/>
          <w:b w:val="0"/>
          <w:bCs w:val="0"/>
          <w:sz w:val="24"/>
          <w:szCs w:val="24"/>
        </w:rPr>
        <w:t>9.4. Todos os estabelecimentos que fizerem parte da Rede Credenciada da Contratada deverão por esta ser reembolsados, não existindo qualquer relação financeira entre a Câmara Municipal de Primavera do Leste /MT e tais fornecedores de materiais e/ou prestadores de serviços.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9.5. Os cartões eletrônicos terão operação "ON LINE", sendo o abastecimento em litros, inclusive ficando a cargo do servidor a estipulação da litragem a ser abastecida (Mediante consulta prévia de saldo) no momento do registro do abastecimento;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9.6. Os cartões eletrônicos deverão permitir também abastecimento via formulário 0800 (para casos de não haver comunicação momentânea, ou situação de extrema urgência) no qual o mesmo será regularizado pelo responsável ou atendente do posto assim que a comunicação for restabelecida, através de uma central de atendimento - SAC, para preenchimento de informações tais como: o número do cartão eletrônico a ser debitados, a quantidade de litros abastecida, a placa do veículo, o posto de abastecimento, o nome, o código do servidor e a assinatura);</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9.7. O abastecimento indevido de veículo não autorizado, cancelado ou bloqueado pela contratante, se constatado, será considerado falha do sistema e as despesas efetivadas serão suportadas pela empresa CONTRATADA.</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9.8. Não realizar subcontratação total ou parcial dos serviços sem anuência da Contratante. No caso de subcontratação autorizada, a Contratada permanecerá integralmente responsável por responder pelos serviços e demais obrigações assumidas.</w:t>
      </w:r>
    </w:p>
    <w:p>
      <w:pPr>
        <w:spacing w:line="276" w:lineRule="auto"/>
        <w:jc w:val="both"/>
        <w:rPr>
          <w:rFonts w:ascii="Times New Roman" w:hAnsi="Times New Roman" w:cs="Arial"/>
          <w:b w:val="0"/>
          <w:bCs w:val="0"/>
          <w:sz w:val="24"/>
          <w:szCs w:val="24"/>
        </w:rPr>
      </w:pPr>
      <w:r>
        <w:rPr>
          <w:rFonts w:ascii="Times New Roman" w:hAnsi="Times New Roman" w:cs="Arial"/>
          <w:b w:val="0"/>
          <w:bCs w:val="0"/>
          <w:sz w:val="24"/>
          <w:szCs w:val="24"/>
        </w:rPr>
        <w:t>9.9. Manter, durante toda a execução do Contrato, todas as condições de habilitação e qualificação exigidas na licitação.</w:t>
      </w:r>
    </w:p>
    <w:p>
      <w:pPr>
        <w:spacing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9.10. Capacitar os envolvidos no gerenciamento e abastecimento, promovendo treinamento de reciclagem sempre que se fizer necessário. </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 xml:space="preserve">9.11. A </w:t>
      </w:r>
      <w:r>
        <w:rPr>
          <w:rFonts w:ascii="Times New Roman" w:hAnsi="Times New Roman" w:cs="Arial"/>
          <w:sz w:val="24"/>
          <w:szCs w:val="24"/>
        </w:rPr>
        <w:t xml:space="preserve">empresa vencedora do certame deverá dispor de suporte técnico especializado do sistema, telefone de atendimento ao cliente 24 (vinte e quatro) </w:t>
      </w:r>
      <w:r>
        <w:rPr>
          <w:rFonts w:ascii="Times New Roman" w:hAnsi="Times New Roman" w:cs="Arial"/>
          <w:b w:val="0"/>
          <w:bCs w:val="0"/>
          <w:sz w:val="24"/>
          <w:szCs w:val="24"/>
        </w:rPr>
        <w:t>horas e e-mail, com a finalidade de sanar eventuais ocorrências inerentes ao sistema;</w:t>
      </w:r>
    </w:p>
    <w:p>
      <w:pPr>
        <w:spacing w:before="0" w:after="120" w:line="276" w:lineRule="auto"/>
        <w:jc w:val="both"/>
        <w:rPr>
          <w:rFonts w:ascii="Times New Roman" w:hAnsi="Times New Roman"/>
          <w:b w:val="0"/>
          <w:bCs w:val="0"/>
          <w:sz w:val="24"/>
          <w:szCs w:val="24"/>
        </w:rPr>
      </w:pPr>
      <w:r>
        <w:rPr>
          <w:rFonts w:ascii="Times New Roman" w:hAnsi="Times New Roman" w:cs="Arial"/>
          <w:b w:val="0"/>
          <w:bCs w:val="0"/>
          <w:sz w:val="24"/>
          <w:szCs w:val="24"/>
        </w:rPr>
        <w:t>9.12. Disponibilizar durante o prazo de dois anos após a extinção do contrato dados e relatórios gerenciais solicitados pela Contratante, sem qualquer custo, no prazo de quinze dias.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9.13. DISPOSIÇÕES SOBRE O SISTEMA:</w:t>
      </w:r>
    </w:p>
    <w:p>
      <w:pPr>
        <w:spacing w:before="0" w:after="120" w:line="276" w:lineRule="auto"/>
        <w:jc w:val="both"/>
        <w:rPr>
          <w:rFonts w:ascii="Times New Roman" w:hAnsi="Times New Roman"/>
          <w:b w:val="0"/>
          <w:bCs w:val="0"/>
          <w:sz w:val="24"/>
          <w:szCs w:val="24"/>
        </w:rPr>
      </w:pPr>
      <w:r>
        <w:rPr>
          <w:rFonts w:ascii="Times New Roman" w:hAnsi="Times New Roman"/>
          <w:b w:val="0"/>
          <w:bCs w:val="0"/>
          <w:sz w:val="24"/>
          <w:szCs w:val="24"/>
        </w:rPr>
        <w:t>9.13.1. Deverá possibilitar à Contratante o fechamento financeiro dos relatórios e faturamentos em período quinzenal ou mensal com base preço médio ANP  Rondonópolis - MT, conciliado com os fornecedores (Postos de Combustíveis) através da rede credenciada;</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9.13.2. Os veículos, maquinários ou equipamentos deverão ter um único cadastro em sistema, contendo marca, modelo, placa, chassi, RENAVAM (quando for o caso), cota de combustível e demais informações que forem necessárias;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9.13.3.. Deverá conter relatório de médias de consumo dos veículos, máquinas ou equipamentos, possibilitando filtrar por Secretaria, Unidade/Departamento, data, mês, placas e tipo de combustível, permitindo uma análise detalhada;</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9.13.4. Deverá possibilitar controle de vencimento de CNH (Carteira Nacional de habilitação) dos condutores cadastrados;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9.13.5. O sistema deverá possibilitar o controle em tempo real por local de abastecimento, constando data, cidade, dados do veículo, tipo de combustível e condutor, para acompanhamento de operações em andamento;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9.13.6. O sistema de segurança deverá impedir o abastecimento de outros veículos que não sejam autorizados pela CONTRATANTE, permitindo o controle sobre todos os abastecimentos, veículos e condutores;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9.13.7. Deverá ser disponibilizada a emissão de relatórios contendo o registro do hodômetro/ horímetro referente a cada abastecimento feito pelo veículo, bem como, a média de quilometragem feita por litro de combustível gasto, posto de abastecimento, quantidade de litros abastecida e nome do motorista/responsável;</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9.13.8. P</w:t>
      </w:r>
      <w:r>
        <w:rPr>
          <w:rFonts w:ascii="Times New Roman" w:hAnsi="Times New Roman" w:cs="Arial"/>
          <w:sz w:val="24"/>
          <w:szCs w:val="24"/>
        </w:rPr>
        <w:t>oderão ser acrescidos ou retirados veículos cadastrados no sistema, conforme necessidade.</w:t>
      </w:r>
    </w:p>
    <w:p>
      <w:pPr>
        <w:spacing w:line="276" w:lineRule="auto"/>
        <w:jc w:val="both"/>
        <w:rPr>
          <w:rFonts w:ascii="Times New Roman" w:hAnsi="Times New Roman" w:cs="Arial"/>
          <w:sz w:val="24"/>
          <w:szCs w:val="24"/>
        </w:rPr>
      </w:pPr>
    </w:p>
    <w:p>
      <w:pPr>
        <w:spacing w:before="0" w:after="120" w:line="276" w:lineRule="auto"/>
        <w:jc w:val="both"/>
        <w:rPr>
          <w:rFonts w:ascii="Times New Roman" w:hAnsi="Times New Roman" w:cs="Arial"/>
          <w:b/>
          <w:sz w:val="24"/>
          <w:szCs w:val="24"/>
        </w:rPr>
      </w:pPr>
      <w:r>
        <w:rPr>
          <w:rFonts w:ascii="Times New Roman" w:hAnsi="Times New Roman" w:cs="Arial"/>
          <w:b/>
          <w:sz w:val="24"/>
          <w:szCs w:val="24"/>
        </w:rPr>
        <w:t>10.  DAS OBRIGAÇÕES DA CONTRATANTE:</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 xml:space="preserve">10.1. A CONTRATANTE obriga-se a: </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10.2. Efetuar os pagamentos devidos nas condições estabelecidas;</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10.3. Proporcionar todas as facilidades visando à boa execução do objeto do contrato;</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 xml:space="preserve">10.4. </w:t>
      </w:r>
      <w:r>
        <w:rPr>
          <w:rFonts w:ascii="Times New Roman" w:hAnsi="Times New Roman" w:cs="Arial"/>
          <w:sz w:val="24"/>
          <w:szCs w:val="24"/>
        </w:rPr>
        <w:t>Manter preposto, formalmente designado por secretaria, para fiscalizar o Contrato.</w:t>
      </w:r>
    </w:p>
    <w:p>
      <w:pPr>
        <w:spacing w:line="276" w:lineRule="auto"/>
        <w:jc w:val="both"/>
        <w:rPr>
          <w:rFonts w:ascii="Times New Roman" w:hAnsi="Times New Roman" w:cs="Arial"/>
          <w:sz w:val="24"/>
          <w:szCs w:val="24"/>
        </w:rPr>
      </w:pPr>
    </w:p>
    <w:p>
      <w:pPr>
        <w:spacing w:before="0" w:after="120" w:line="276" w:lineRule="auto"/>
        <w:jc w:val="both"/>
        <w:rPr>
          <w:rFonts w:ascii="Times New Roman" w:hAnsi="Times New Roman" w:cs="Arial"/>
          <w:b/>
          <w:sz w:val="24"/>
          <w:szCs w:val="24"/>
        </w:rPr>
      </w:pPr>
      <w:r>
        <w:rPr>
          <w:rFonts w:ascii="Times New Roman" w:hAnsi="Times New Roman" w:cs="Arial"/>
          <w:b/>
          <w:sz w:val="24"/>
          <w:szCs w:val="24"/>
        </w:rPr>
        <w:t>11.  DO VALOR ESTIMADO:</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11.1.</w:t>
      </w:r>
      <w:r>
        <w:rPr>
          <w:rFonts w:ascii="Times New Roman" w:hAnsi="Times New Roman" w:cs="Arial"/>
          <w:b/>
          <w:bCs/>
          <w:sz w:val="24"/>
          <w:szCs w:val="24"/>
        </w:rPr>
        <w:t xml:space="preserve"> </w:t>
      </w:r>
      <w:r>
        <w:rPr>
          <w:rFonts w:ascii="Times New Roman" w:hAnsi="Times New Roman" w:cs="Arial"/>
          <w:b w:val="0"/>
          <w:bCs w:val="0"/>
          <w:sz w:val="24"/>
          <w:szCs w:val="24"/>
        </w:rPr>
        <w:t>O valor estimado para contratação é de</w:t>
      </w:r>
      <w:r>
        <w:rPr>
          <w:rFonts w:ascii="Times New Roman" w:hAnsi="Times New Roman" w:cs="Arial"/>
          <w:sz w:val="24"/>
          <w:szCs w:val="24"/>
        </w:rPr>
        <w:t xml:space="preserve"> </w:t>
      </w:r>
      <w:r>
        <w:rPr>
          <w:rFonts w:ascii="Times New Roman" w:hAnsi="Times New Roman" w:eastAsia="Times New Roman" w:cs="Arial"/>
          <w:b/>
          <w:bCs/>
          <w:sz w:val="24"/>
          <w:szCs w:val="24"/>
          <w:shd w:val="clear" w:fill="FFFFFF"/>
        </w:rPr>
        <w:t>R$ 190.580,00 (</w:t>
      </w:r>
      <w:r>
        <w:rPr>
          <w:rFonts w:ascii="Times New Roman" w:hAnsi="Times New Roman" w:eastAsia="Times New Roman" w:cs="Arial"/>
          <w:b/>
          <w:bCs/>
          <w:sz w:val="24"/>
          <w:szCs w:val="24"/>
          <w:shd w:val="clear" w:fill="FFFFFF"/>
          <w:lang w:val="en-US"/>
        </w:rPr>
        <w:t>Cento e noventa mil quinhentos e oitenta reais</w:t>
      </w:r>
      <w:r>
        <w:rPr>
          <w:rFonts w:ascii="Times New Roman" w:hAnsi="Times New Roman" w:eastAsia="Times New Roman" w:cs="Arial"/>
          <w:b/>
          <w:bCs/>
          <w:sz w:val="24"/>
          <w:szCs w:val="24"/>
          <w:shd w:val="clear" w:fill="FFFFFF"/>
        </w:rPr>
        <w:t>)</w:t>
      </w:r>
    </w:p>
    <w:p>
      <w:pPr>
        <w:spacing w:before="0" w:after="120" w:line="276" w:lineRule="auto"/>
        <w:jc w:val="both"/>
        <w:rPr>
          <w:rFonts w:ascii="Times New Roman" w:hAnsi="Times New Roman" w:cs="Arial"/>
          <w:b/>
          <w:bCs/>
          <w:sz w:val="24"/>
          <w:szCs w:val="24"/>
        </w:rPr>
      </w:pPr>
      <w:r>
        <w:rPr>
          <w:rFonts w:ascii="Times New Roman" w:hAnsi="Times New Roman" w:cs="Arial"/>
          <w:b w:val="0"/>
          <w:bCs w:val="0"/>
          <w:sz w:val="24"/>
          <w:szCs w:val="24"/>
        </w:rPr>
        <w:t>11.2. O valor médio estimado para o serviço de administração foi de</w:t>
      </w:r>
      <w:r>
        <w:rPr>
          <w:rFonts w:ascii="Times New Roman" w:hAnsi="Times New Roman" w:cs="Arial"/>
          <w:b/>
          <w:bCs/>
          <w:sz w:val="24"/>
          <w:szCs w:val="24"/>
        </w:rPr>
        <w:t xml:space="preserve"> </w:t>
      </w:r>
      <w:r>
        <w:rPr>
          <w:rFonts w:ascii="Times New Roman" w:hAnsi="Times New Roman" w:cs="Arial"/>
          <w:b/>
          <w:bCs/>
          <w:sz w:val="24"/>
          <w:szCs w:val="24"/>
          <w:shd w:val="clear" w:fill="FFFFFF"/>
        </w:rPr>
        <w:t>2,00% (Dois por cento)</w:t>
      </w:r>
      <w:r>
        <w:rPr>
          <w:rFonts w:ascii="Times New Roman" w:hAnsi="Times New Roman" w:cs="Arial"/>
          <w:b/>
          <w:bCs/>
          <w:sz w:val="24"/>
          <w:szCs w:val="24"/>
        </w:rPr>
        <w:t>,</w:t>
      </w:r>
      <w:r>
        <w:rPr>
          <w:rFonts w:ascii="Times New Roman" w:hAnsi="Times New Roman" w:cs="Arial"/>
          <w:b w:val="0"/>
          <w:bCs w:val="0"/>
          <w:sz w:val="24"/>
          <w:szCs w:val="24"/>
        </w:rPr>
        <w:t xml:space="preserve"> determinado a partir de pesquisa de mercado.</w:t>
      </w:r>
    </w:p>
    <w:p>
      <w:pPr>
        <w:spacing w:before="0" w:after="120" w:line="276" w:lineRule="auto"/>
        <w:jc w:val="both"/>
        <w:rPr>
          <w:rFonts w:ascii="Times New Roman" w:hAnsi="Times New Roman" w:cs="Arial"/>
          <w:b w:val="0"/>
          <w:bCs w:val="0"/>
          <w:sz w:val="24"/>
          <w:szCs w:val="24"/>
        </w:rPr>
      </w:pPr>
      <w:r>
        <w:rPr>
          <w:rFonts w:ascii="Times New Roman" w:hAnsi="Times New Roman" w:cs="Arial"/>
          <w:b w:val="0"/>
          <w:bCs w:val="0"/>
          <w:sz w:val="24"/>
          <w:szCs w:val="24"/>
        </w:rPr>
        <w:t>11.3. Os valores válidos para esta contratação, são aqueles que se referem neste Termo de Referência, considerando que os valores contidos no Estudo Técnico Preliminar, servem apenas para nortear a forma de contratação mais vantajosa para o órgão.</w:t>
      </w:r>
    </w:p>
    <w:p>
      <w:pPr>
        <w:spacing w:before="0" w:after="120" w:line="276" w:lineRule="auto"/>
        <w:jc w:val="both"/>
        <w:rPr>
          <w:rFonts w:ascii="Times New Roman" w:hAnsi="Times New Roman" w:cs="Arial"/>
          <w:b/>
          <w:sz w:val="24"/>
          <w:szCs w:val="24"/>
        </w:rPr>
      </w:pPr>
      <w:r>
        <w:rPr>
          <w:rFonts w:ascii="Times New Roman" w:hAnsi="Times New Roman" w:cs="Arial"/>
          <w:b/>
          <w:sz w:val="24"/>
          <w:szCs w:val="24"/>
        </w:rPr>
        <w:t>12. CLÁUSULA DÉCIMA TERCEIRA: DAS DOTAÇÕES ORÇAMENTÁRIAS</w:t>
      </w:r>
    </w:p>
    <w:p>
      <w:pPr>
        <w:spacing w:before="0" w:after="120" w:line="276" w:lineRule="auto"/>
        <w:jc w:val="both"/>
        <w:rPr>
          <w:rFonts w:ascii="Times New Roman" w:hAnsi="Times New Roman"/>
          <w:sz w:val="24"/>
          <w:szCs w:val="24"/>
        </w:rPr>
      </w:pPr>
      <w:r>
        <w:rPr>
          <w:rFonts w:ascii="Times New Roman" w:hAnsi="Times New Roman" w:cs="Arial"/>
          <w:b w:val="0"/>
          <w:bCs w:val="0"/>
          <w:sz w:val="24"/>
          <w:szCs w:val="24"/>
        </w:rPr>
        <w:t>12.1.</w:t>
      </w:r>
      <w:r>
        <w:rPr>
          <w:rFonts w:ascii="Times New Roman" w:hAnsi="Times New Roman" w:cs="Arial"/>
          <w:sz w:val="24"/>
          <w:szCs w:val="24"/>
        </w:rPr>
        <w:t xml:space="preserve"> As despesas oriundas da presente aquisição correrão por conta de recursos próprios específicos consignados no orçamento da Câmara Municipal de Primavera do Leste nas dotações orçamentárias relacionadas abaixo:</w:t>
      </w:r>
    </w:p>
    <w:tbl>
      <w:tblPr>
        <w:tblStyle w:val="9"/>
        <w:tblW w:w="9073" w:type="dxa"/>
        <w:tblInd w:w="42" w:type="dxa"/>
        <w:tblLayout w:type="fixed"/>
        <w:tblCellMar>
          <w:top w:w="55" w:type="dxa"/>
          <w:left w:w="55" w:type="dxa"/>
          <w:bottom w:w="55" w:type="dxa"/>
          <w:right w:w="55" w:type="dxa"/>
        </w:tblCellMar>
      </w:tblPr>
      <w:tblGrid>
        <w:gridCol w:w="2160"/>
        <w:gridCol w:w="2655"/>
        <w:gridCol w:w="4258"/>
      </w:tblGrid>
      <w:tr>
        <w:tblPrEx>
          <w:tblCellMar>
            <w:top w:w="55" w:type="dxa"/>
            <w:left w:w="55" w:type="dxa"/>
            <w:bottom w:w="55" w:type="dxa"/>
            <w:right w:w="55" w:type="dxa"/>
          </w:tblCellMar>
        </w:tblPrEx>
        <w:tc>
          <w:tcPr>
            <w:tcW w:w="2160" w:type="dxa"/>
            <w:tcBorders>
              <w:top w:val="single" w:color="000000" w:sz="2" w:space="0"/>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Órgão</w:t>
            </w:r>
          </w:p>
        </w:tc>
        <w:tc>
          <w:tcPr>
            <w:tcW w:w="2655" w:type="dxa"/>
            <w:tcBorders>
              <w:top w:val="single" w:color="000000" w:sz="2" w:space="0"/>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w:t>
            </w:r>
          </w:p>
        </w:tc>
        <w:tc>
          <w:tcPr>
            <w:tcW w:w="4258" w:type="dxa"/>
            <w:tcBorders>
              <w:top w:val="single" w:color="000000" w:sz="2" w:space="0"/>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Unid Orçamentária</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Unidade Executora</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Função programática</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01.031.0001-2.001</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MANUTENÇÃO DEPARTAMENTO ADMINISTRATIVO DA 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Elemento</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3.3.90.39.00</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18"/>
                <w:szCs w:val="18"/>
                <w:shd w:val="clear" w:fill="auto"/>
              </w:rPr>
            </w:pPr>
            <w:r>
              <w:rPr>
                <w:rFonts w:ascii="Times New Roman" w:hAnsi="Times New Roman" w:eastAsia="Calibri" w:cs="Times New Roman"/>
                <w:kern w:val="0"/>
                <w:sz w:val="18"/>
                <w:szCs w:val="18"/>
                <w:shd w:val="clear" w:fill="auto"/>
                <w:lang w:val="pt-BR" w:eastAsia="zh-CN" w:bidi="hi-IN"/>
              </w:rPr>
              <w:t>SERVIÇOS DE TERCEIROS – PESSOA JURÍDICA</w:t>
            </w:r>
          </w:p>
        </w:tc>
      </w:tr>
    </w:tbl>
    <w:p>
      <w:pPr>
        <w:spacing w:line="276" w:lineRule="auto"/>
        <w:jc w:val="both"/>
        <w:rPr>
          <w:rFonts w:ascii="Times New Roman" w:hAnsi="Times New Roman" w:cs="Arial"/>
          <w:b/>
          <w:sz w:val="24"/>
          <w:szCs w:val="24"/>
        </w:rPr>
      </w:pPr>
    </w:p>
    <w:p>
      <w:pPr>
        <w:spacing w:line="276" w:lineRule="auto"/>
        <w:jc w:val="both"/>
        <w:rPr>
          <w:rFonts w:ascii="Times New Roman" w:hAnsi="Times New Roman" w:cs="Arial"/>
          <w:b/>
          <w:sz w:val="24"/>
          <w:szCs w:val="24"/>
        </w:rPr>
      </w:pPr>
      <w:r>
        <w:rPr>
          <w:rFonts w:ascii="Times New Roman" w:hAnsi="Times New Roman" w:cs="Arial"/>
          <w:b/>
          <w:sz w:val="24"/>
          <w:szCs w:val="24"/>
        </w:rPr>
        <w:t>13.  DO PAGAMENTO:</w:t>
      </w:r>
    </w:p>
    <w:p>
      <w:pPr>
        <w:spacing w:line="276" w:lineRule="auto"/>
        <w:jc w:val="both"/>
        <w:rPr>
          <w:rFonts w:ascii="Times New Roman" w:hAnsi="Times New Roman"/>
          <w:sz w:val="24"/>
          <w:szCs w:val="24"/>
        </w:rPr>
      </w:pPr>
      <w:r>
        <w:rPr>
          <w:rFonts w:ascii="Times New Roman" w:hAnsi="Times New Roman" w:cs="Arial"/>
          <w:b w:val="0"/>
          <w:bCs w:val="0"/>
          <w:sz w:val="24"/>
          <w:szCs w:val="24"/>
        </w:rPr>
        <w:t xml:space="preserve">13.1. </w:t>
      </w:r>
      <w:r>
        <w:rPr>
          <w:rFonts w:ascii="Times New Roman" w:hAnsi="Times New Roman" w:cs="Arial"/>
          <w:sz w:val="24"/>
          <w:szCs w:val="24"/>
        </w:rPr>
        <w:t xml:space="preserve">O pagamento dos serviços será efetuado por execução mensal, em até </w:t>
      </w:r>
      <w:r>
        <w:rPr>
          <w:rFonts w:ascii="Times New Roman" w:hAnsi="Times New Roman" w:cs="Arial"/>
          <w:b/>
          <w:sz w:val="24"/>
          <w:szCs w:val="24"/>
        </w:rPr>
        <w:t>30 (trinta) dias</w:t>
      </w:r>
      <w:r>
        <w:rPr>
          <w:rFonts w:ascii="Times New Roman" w:hAnsi="Times New Roman" w:cs="Arial"/>
          <w:sz w:val="24"/>
          <w:szCs w:val="24"/>
        </w:rPr>
        <w:t xml:space="preserve"> após a entrega da nota fiscal devidamente atestada pelo setor competente, mediante controle emitido pelo fornecedor.</w:t>
      </w:r>
    </w:p>
    <w:p>
      <w:pPr>
        <w:spacing w:line="276" w:lineRule="auto"/>
        <w:jc w:val="both"/>
        <w:rPr>
          <w:rFonts w:ascii="Times New Roman" w:hAnsi="Times New Roman" w:cs="Arial"/>
          <w:b/>
          <w:sz w:val="24"/>
          <w:szCs w:val="24"/>
        </w:rPr>
      </w:pPr>
    </w:p>
    <w:p>
      <w:pPr>
        <w:spacing w:line="276" w:lineRule="auto"/>
        <w:jc w:val="both"/>
        <w:rPr>
          <w:rFonts w:ascii="Times New Roman" w:hAnsi="Times New Roman" w:cs="Arial"/>
          <w:b/>
          <w:sz w:val="24"/>
          <w:szCs w:val="24"/>
        </w:rPr>
      </w:pPr>
      <w:r>
        <w:rPr>
          <w:rFonts w:ascii="Times New Roman" w:hAnsi="Times New Roman" w:cs="Arial"/>
          <w:b/>
          <w:sz w:val="24"/>
          <w:szCs w:val="24"/>
        </w:rPr>
        <w:t>14. CLÁUSULA DÉCIMA QUINTA: DA FISCALIZAÇÃO</w:t>
      </w:r>
    </w:p>
    <w:p>
      <w:pPr>
        <w:spacing w:before="0" w:after="120" w:line="276" w:lineRule="auto"/>
        <w:jc w:val="both"/>
        <w:rPr>
          <w:rFonts w:ascii="Times New Roman" w:hAnsi="Times New Roman"/>
          <w:sz w:val="24"/>
          <w:szCs w:val="24"/>
        </w:rPr>
      </w:pPr>
      <w:r>
        <w:rPr>
          <w:rFonts w:ascii="Times New Roman" w:hAnsi="Times New Roman"/>
          <w:b w:val="0"/>
          <w:bCs w:val="0"/>
          <w:sz w:val="24"/>
          <w:szCs w:val="24"/>
        </w:rPr>
        <w:t xml:space="preserve">14.1. </w:t>
      </w:r>
      <w:r>
        <w:rPr>
          <w:rFonts w:ascii="Times New Roman" w:hAnsi="Times New Roman"/>
          <w:sz w:val="24"/>
          <w:szCs w:val="24"/>
        </w:rPr>
        <w:t xml:space="preserve">A fiscalização das especificações dos materiais e da execução dos serviços será exercida por representante legal da </w:t>
      </w:r>
      <w:r>
        <w:rPr>
          <w:rFonts w:ascii="Times New Roman" w:hAnsi="Times New Roman"/>
          <w:b/>
          <w:sz w:val="24"/>
          <w:szCs w:val="24"/>
        </w:rPr>
        <w:t>CONTRATANTE</w:t>
      </w:r>
      <w:r>
        <w:rPr>
          <w:rFonts w:ascii="Times New Roman" w:hAnsi="Times New Roman"/>
          <w:sz w:val="24"/>
          <w:szCs w:val="24"/>
        </w:rPr>
        <w:t xml:space="preserve">, neste ato denominado </w:t>
      </w:r>
      <w:r>
        <w:rPr>
          <w:rFonts w:ascii="Times New Roman" w:hAnsi="Times New Roman"/>
          <w:b/>
          <w:sz w:val="24"/>
          <w:szCs w:val="24"/>
        </w:rPr>
        <w:t>FISCAL DE CONTRATO</w:t>
      </w:r>
      <w:r>
        <w:rPr>
          <w:rFonts w:ascii="Times New Roman" w:hAnsi="Times New Roman"/>
          <w:sz w:val="24"/>
          <w:szCs w:val="24"/>
        </w:rPr>
        <w:t>, devidamente designado pela Câmara Municipal de Primavera do Leste, conforme</w:t>
      </w:r>
      <w:r>
        <w:rPr>
          <w:rFonts w:ascii="Times New Roman" w:hAnsi="Times New Roman"/>
          <w:sz w:val="24"/>
          <w:szCs w:val="24"/>
          <w:shd w:val="clear" w:fill="auto"/>
        </w:rPr>
        <w:t xml:space="preserve"> Art. 117 da Lei nº 14.133/2021, </w:t>
      </w:r>
      <w:r>
        <w:rPr>
          <w:rFonts w:ascii="Times New Roman" w:hAnsi="Times New Roman"/>
          <w:sz w:val="24"/>
          <w:szCs w:val="24"/>
        </w:rPr>
        <w:t>cabendo aos usuários a ratificação da qualidade dos serviços prestados</w:t>
      </w:r>
      <w:r>
        <w:rPr>
          <w:rFonts w:ascii="Times New Roman" w:hAnsi="Times New Roman" w:eastAsia="Arial Unicode MS"/>
          <w:bCs/>
          <w:sz w:val="24"/>
          <w:szCs w:val="24"/>
        </w:rPr>
        <w:t>.</w:t>
      </w:r>
    </w:p>
    <w:p>
      <w:pPr>
        <w:spacing w:line="276" w:lineRule="auto"/>
        <w:jc w:val="both"/>
        <w:rPr>
          <w:rFonts w:ascii="Times New Roman" w:hAnsi="Times New Roman" w:eastAsia="Times New Roman"/>
          <w:b/>
          <w:sz w:val="24"/>
          <w:szCs w:val="24"/>
          <w:lang w:eastAsia="en-US"/>
        </w:rPr>
      </w:pPr>
      <w:r>
        <w:rPr>
          <w:rFonts w:ascii="Times New Roman" w:hAnsi="Times New Roman" w:eastAsia="Times New Roman"/>
          <w:b/>
          <w:sz w:val="24"/>
          <w:szCs w:val="24"/>
          <w:lang w:eastAsia="en-US"/>
        </w:rPr>
        <w:t>15. Das Sanções:</w:t>
      </w:r>
    </w:p>
    <w:p>
      <w:pPr>
        <w:spacing w:line="276" w:lineRule="auto"/>
        <w:jc w:val="both"/>
      </w:pPr>
      <w:r>
        <w:rPr>
          <w:rStyle w:val="128"/>
          <w:rFonts w:ascii="Times New Roman" w:hAnsi="Times New Roman" w:eastAsia="Times New Roman"/>
          <w:b w:val="0"/>
          <w:bCs w:val="0"/>
          <w:sz w:val="24"/>
          <w:szCs w:val="24"/>
          <w:lang w:eastAsia="en-US"/>
        </w:rPr>
        <w:t xml:space="preserve">15.1. </w:t>
      </w:r>
      <w:r>
        <w:rPr>
          <w:rStyle w:val="128"/>
          <w:rFonts w:ascii="Times New Roman" w:hAnsi="Times New Roman" w:eastAsia="Times New Roman"/>
          <w:sz w:val="24"/>
          <w:szCs w:val="24"/>
          <w:lang w:eastAsia="en-US"/>
        </w:rPr>
        <w:t>Comete infração administrativa, nos termos da Lei nº 14.133, de 2021, o Contratado que:</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a) der causa à inexecução parcial do contrato/instrumento equivalente;</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b) der causa à inexecução parcial do contrato que cause grave dano à Administração ou ao funcionamento dos serviços públicos ou ao interesse coletivo;</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c) der causa à inexecução total do contrato;</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d) deixar de entregar a documentação exigida para o certame;</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e) não manter a proposta, salvo em decorrência de fato superveniente devidamente justificado;</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f) não celebrar o contrato ou não entregar a documentação exigida para a contratação, quando convocado dentro do prazo de validade de sua proposta;</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g) ensejar o retardamento da execução ou da entrega do objeto da contratação sem motivo justificado;</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h) apresentar declaração ou documentação falsa exigida para o certame ou prestar declaração falsa durante a dispensa eletrônica ou execução do contrato;</w:t>
      </w:r>
    </w:p>
    <w:p>
      <w:pPr>
        <w:spacing w:line="276" w:lineRule="auto"/>
        <w:ind w:left="57" w:right="0" w:firstLine="0"/>
        <w:jc w:val="both"/>
      </w:pPr>
      <w:r>
        <w:rPr>
          <w:rStyle w:val="128"/>
          <w:rFonts w:ascii="Times New Roman" w:hAnsi="Times New Roman" w:eastAsia="Times New Roman"/>
          <w:sz w:val="24"/>
          <w:szCs w:val="24"/>
          <w:lang w:eastAsia="en-US"/>
        </w:rPr>
        <w:t>i) fraudar a contratação ou praticar ato fraudulento na execução do contrato;</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 j) comportar-se de modo inidôneo ou cometer fraude de qualquer natureza;</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k) praticar atos ilícitos com vistas a frustrar os objetivos da contratação;</w:t>
      </w:r>
    </w:p>
    <w:p>
      <w:pPr>
        <w:spacing w:line="276" w:lineRule="auto"/>
        <w:ind w:left="57" w:right="0" w:firstLine="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l) praticar ato lesivo previsto no art. 5º da Lei nº 12.846, de 1º de agosto de 2013.</w:t>
      </w:r>
    </w:p>
    <w:p>
      <w:pPr>
        <w:spacing w:line="276" w:lineRule="auto"/>
        <w:jc w:val="both"/>
      </w:pPr>
      <w:r>
        <w:rPr>
          <w:rStyle w:val="128"/>
          <w:rFonts w:ascii="Times New Roman" w:hAnsi="Times New Roman" w:eastAsia="Times New Roman"/>
          <w:b w:val="0"/>
          <w:bCs w:val="0"/>
          <w:sz w:val="24"/>
          <w:szCs w:val="24"/>
          <w:lang w:eastAsia="en-US"/>
        </w:rPr>
        <w:t>15.2. Serão aplicadas ao responsável pelas infrações administrativas acima descritas as seguintes sanções:</w:t>
      </w:r>
    </w:p>
    <w:p>
      <w:pPr>
        <w:spacing w:line="276" w:lineRule="auto"/>
        <w:jc w:val="both"/>
      </w:pPr>
      <w:r>
        <w:rPr>
          <w:rStyle w:val="128"/>
          <w:rFonts w:ascii="Times New Roman" w:hAnsi="Times New Roman" w:eastAsia="Times New Roman"/>
          <w:b w:val="0"/>
          <w:bCs w:val="0"/>
          <w:sz w:val="24"/>
          <w:szCs w:val="24"/>
          <w:lang w:eastAsia="en-US"/>
        </w:rPr>
        <w:t>I) Advertência, quando o Contratado der causa à inexecução parcial do contrato, sempre que não se justificar a imposição de penalidade mais grave (art. 156, §2º, da Lei);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II) Impedimento de licitar e contratar, quando praticadas as condutas descritas nas alíneas b, c, d, e, f e g do subitem acima deste Contrato, sempre que não se justificar a imposição de penalidade mais grave (art. 156, §4º, da Lei);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III) Declaração de inidoneidade para licitar e contratar, quando praticadas as condutas descritas nas alíneas h, i, j, k e l do subitem acima deste Contrato, bem como nas alíneas b, c, d, e, f e g, que justifiquem a imposição de penalidade mais grave (art. 156, §5º, da Lei)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IV) Multa: (1) moratória de 1 % (um por cento) por dia de atraso injustificado sobre o valor da parcela inadimplida, até o limite de 30 (trinta) dias; (2) compensatória de 10% (dez por cento) sobre o valor total do contrato, no caso de inexecução total do objeto ou sobre o valor da parcela inadimplida, no caso de inexecução parcial;</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rStyle w:val="128"/>
          <w:rFonts w:ascii="Times New Roman" w:hAnsi="Times New Roman"/>
          <w:b w:val="0"/>
          <w:bCs w:val="0"/>
          <w:sz w:val="24"/>
          <w:szCs w:val="24"/>
        </w:rPr>
        <w:t>15.3.</w:t>
      </w:r>
      <w:r>
        <w:rPr>
          <w:rFonts w:ascii="Times New Roman" w:hAnsi="Times New Roman"/>
          <w:b w:val="0"/>
          <w:bCs w:val="0"/>
          <w:sz w:val="24"/>
          <w:szCs w:val="24"/>
        </w:rPr>
        <w:t xml:space="preserve"> A aplicação das sanções previstas neste Contrato não exclui, em hipótese alguma, a obrigação de reparação integral do dano causado à Contratante (art. 156, §9º);</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rStyle w:val="128"/>
          <w:rFonts w:ascii="Times New Roman" w:hAnsi="Times New Roman"/>
          <w:b w:val="0"/>
          <w:bCs w:val="0"/>
          <w:sz w:val="24"/>
          <w:szCs w:val="24"/>
        </w:rPr>
        <w:t>15.4.</w:t>
      </w:r>
      <w:r>
        <w:rPr>
          <w:rFonts w:ascii="Times New Roman" w:hAnsi="Times New Roman"/>
          <w:b w:val="0"/>
          <w:bCs w:val="0"/>
          <w:sz w:val="24"/>
          <w:szCs w:val="24"/>
        </w:rPr>
        <w:t xml:space="preserve"> Todas as sanções previstas neste Contrato poderão ser aplicadas cumulativamente com a multa (art. 156, §7º). 1.4.1.Antes da aplicação da multa será facultada a defesa do interessado no prazo de 15 (quinze) dias úteis, contado da data de sua intimação (art. 157);</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rStyle w:val="128"/>
          <w:rFonts w:ascii="Times New Roman" w:hAnsi="Times New Roman"/>
          <w:b w:val="0"/>
          <w:bCs w:val="0"/>
          <w:sz w:val="24"/>
          <w:szCs w:val="24"/>
        </w:rPr>
        <w:t xml:space="preserve">15.4.1. </w:t>
      </w:r>
      <w:r>
        <w:rPr>
          <w:rFonts w:ascii="Times New Roman" w:hAnsi="Times New Roman"/>
          <w:b w:val="0"/>
          <w:bCs w:val="0"/>
          <w:sz w:val="24"/>
          <w:szCs w:val="24"/>
        </w:rPr>
        <w:t>Se a multa aplicada e as indenizações cabíveis forem superiores ao valor do pagamento eventualmente devido pela Contratante ao Contratado, além da perda desse valor, a diferença será descontada da garantia prestada ou será cobrada judicialmente (art. 156, §8º).</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rStyle w:val="128"/>
          <w:rFonts w:ascii="Times New Roman" w:hAnsi="Times New Roman"/>
          <w:b w:val="0"/>
          <w:bCs w:val="0"/>
          <w:sz w:val="24"/>
          <w:szCs w:val="24"/>
        </w:rPr>
        <w:t xml:space="preserve">15.4.2. </w:t>
      </w:r>
      <w:r>
        <w:rPr>
          <w:rFonts w:ascii="Times New Roman" w:hAnsi="Times New Roman"/>
          <w:b w:val="0"/>
          <w:bCs w:val="0"/>
          <w:sz w:val="24"/>
          <w:szCs w:val="24"/>
        </w:rPr>
        <w:t>Previamente ao encaminhamento à cobrança judicial, a multa poderá ser recolhida administrativamente no prazo máximo de 30 (trinta) dias, a contar da data do recebimento da comunicação enviada pela autoridade competente.</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rStyle w:val="128"/>
          <w:rFonts w:ascii="Times New Roman" w:hAnsi="Times New Roman"/>
          <w:b w:val="0"/>
          <w:bCs w:val="0"/>
          <w:sz w:val="24"/>
          <w:szCs w:val="24"/>
        </w:rPr>
        <w:t>15.4.3.</w:t>
      </w:r>
      <w:r>
        <w:rPr>
          <w:rFonts w:ascii="Times New Roman" w:hAnsi="Times New Roman"/>
          <w:b w:val="0"/>
          <w:bCs w:val="0"/>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rStyle w:val="128"/>
          <w:rFonts w:ascii="Times New Roman" w:hAnsi="Times New Roman"/>
          <w:b w:val="0"/>
          <w:bCs w:val="0"/>
          <w:sz w:val="24"/>
          <w:szCs w:val="24"/>
        </w:rPr>
        <w:t>15.5.</w:t>
      </w:r>
      <w:r>
        <w:rPr>
          <w:rFonts w:ascii="Times New Roman" w:hAnsi="Times New Roman"/>
          <w:b w:val="0"/>
          <w:bCs w:val="0"/>
          <w:sz w:val="24"/>
          <w:szCs w:val="24"/>
        </w:rPr>
        <w:t xml:space="preserve"> Na aplicação das sanções serão considerados (art. 156, §1º)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a) a natureza e a gravidade da infração cometida;</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b) as peculiaridades do caso concreto;</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c) as circunstâncias agravantes ou atenuantes;</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d) os danos que dela provierem para a Contratante;</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val="0"/>
          <w:bCs w:val="0"/>
          <w:sz w:val="24"/>
          <w:szCs w:val="24"/>
        </w:rPr>
      </w:pPr>
      <w:r>
        <w:rPr>
          <w:rFonts w:ascii="Times New Roman" w:hAnsi="Times New Roman"/>
          <w:b w:val="0"/>
          <w:bCs w:val="0"/>
          <w:sz w:val="24"/>
          <w:szCs w:val="24"/>
        </w:rPr>
        <w:t>e) a implantação ou o aperfeiçoamento de programa de integridade, conforme normas e orientações dos órgãos de controle.</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rStyle w:val="128"/>
          <w:rFonts w:ascii="Times New Roman" w:hAnsi="Times New Roman"/>
          <w:b w:val="0"/>
          <w:bCs w:val="0"/>
          <w:sz w:val="24"/>
          <w:szCs w:val="24"/>
        </w:rPr>
        <w:t>15.6.</w:t>
      </w:r>
      <w:r>
        <w:rPr>
          <w:rFonts w:ascii="Times New Roman" w:hAnsi="Times New Roman"/>
          <w:b w:val="0"/>
          <w:bCs w:val="0"/>
          <w:sz w:val="24"/>
          <w:szCs w:val="24"/>
        </w:rPr>
        <w:t xml:space="preserve"> Os atos previstos como infrações administrativas na Lei nº 14.133, de 2021, ou em outras</w:t>
      </w:r>
      <w:r>
        <w:rPr>
          <w:rFonts w:ascii="Times New Roman" w:hAnsi="Times New Roman"/>
          <w:sz w:val="24"/>
          <w:szCs w:val="24"/>
        </w:rPr>
        <w:t xml:space="preserve">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right"/>
        <w:textAlignment w:val="auto"/>
      </w:pPr>
      <w:r>
        <w:rPr>
          <w:rStyle w:val="128"/>
          <w:rFonts w:ascii="Times New Roman" w:hAnsi="Times New Roman" w:eastAsia="Times New Roman"/>
          <w:sz w:val="24"/>
          <w:szCs w:val="24"/>
          <w:lang w:eastAsia="en-US"/>
        </w:rPr>
        <w:t>Primavera do Leste MT, 21</w:t>
      </w:r>
      <w:r>
        <w:rPr>
          <w:rStyle w:val="128"/>
          <w:rFonts w:ascii="Times New Roman" w:hAnsi="Times New Roman" w:eastAsia="Times New Roman"/>
          <w:sz w:val="24"/>
          <w:szCs w:val="24"/>
          <w:lang w:val="pt-BR" w:eastAsia="en-US"/>
        </w:rPr>
        <w:t xml:space="preserve"> </w:t>
      </w:r>
      <w:r>
        <w:rPr>
          <w:rStyle w:val="128"/>
          <w:rFonts w:ascii="Times New Roman" w:hAnsi="Times New Roman" w:eastAsia="Times New Roman"/>
          <w:sz w:val="24"/>
          <w:szCs w:val="24"/>
          <w:lang w:eastAsia="en-US"/>
        </w:rPr>
        <w:t>de fevereiro de 2024.</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b/>
          <w:bCs/>
          <w:color w:val="000000"/>
          <w:sz w:val="24"/>
          <w:szCs w:val="24"/>
          <w:lang w:eastAsia="en-US"/>
        </w:rPr>
      </w:pPr>
    </w:p>
    <w:p>
      <w:pPr>
        <w:pStyle w:val="17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eastAsia="Times New Roman"/>
          <w:b/>
          <w:bCs/>
          <w:color w:val="000000"/>
          <w:sz w:val="24"/>
          <w:szCs w:val="24"/>
          <w:lang w:eastAsia="en-US"/>
        </w:rPr>
      </w:pPr>
    </w:p>
    <w:p>
      <w:pPr>
        <w:pStyle w:val="17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eastAsia="Times New Roman"/>
          <w:b/>
          <w:bCs/>
          <w:color w:val="000000"/>
          <w:sz w:val="24"/>
          <w:szCs w:val="24"/>
          <w:lang w:eastAsia="en-US"/>
        </w:rPr>
      </w:pPr>
    </w:p>
    <w:p>
      <w:pPr>
        <w:pStyle w:val="17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eastAsia="Times New Roman"/>
          <w:b/>
          <w:bCs/>
          <w:color w:val="000000"/>
          <w:sz w:val="24"/>
          <w:szCs w:val="24"/>
          <w:lang w:eastAsia="en-US"/>
        </w:rPr>
      </w:pPr>
    </w:p>
    <w:p>
      <w:pPr>
        <w:pStyle w:val="17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eastAsia="Times New Roman"/>
          <w:b/>
          <w:bCs/>
          <w:color w:val="000000"/>
          <w:sz w:val="24"/>
          <w:szCs w:val="24"/>
          <w:lang w:eastAsia="en-US"/>
        </w:rPr>
      </w:pPr>
    </w:p>
    <w:p>
      <w:pPr>
        <w:pStyle w:val="17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b/>
          <w:bCs/>
          <w:color w:val="000000"/>
          <w:sz w:val="24"/>
          <w:szCs w:val="24"/>
          <w:lang w:eastAsia="en-US"/>
        </w:rPr>
      </w:pPr>
      <w:r>
        <w:rPr>
          <w:rFonts w:eastAsia="Times New Roman"/>
          <w:b/>
          <w:bCs/>
          <w:color w:val="000000"/>
          <w:sz w:val="24"/>
          <w:szCs w:val="24"/>
          <w:lang w:eastAsia="en-US"/>
        </w:rPr>
        <w:t>CLEYTON ANDERSON DA SILVA ARAÚJO</w:t>
      </w:r>
    </w:p>
    <w:p>
      <w:pPr>
        <w:pStyle w:val="17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b/>
          <w:color w:val="000000"/>
          <w:sz w:val="24"/>
          <w:szCs w:val="24"/>
          <w:lang w:val="pt-BR" w:eastAsia="en-US"/>
        </w:rPr>
      </w:pPr>
      <w:r>
        <w:rPr>
          <w:rFonts w:eastAsia="Times New Roman"/>
          <w:color w:val="000000"/>
          <w:sz w:val="24"/>
          <w:szCs w:val="24"/>
          <w:lang w:eastAsia="en-US"/>
        </w:rPr>
        <w:t>Coordenador Administrativo</w:t>
      </w:r>
      <w:r>
        <w:rPr>
          <w:rFonts w:hint="default" w:eastAsia="Times New Roman"/>
          <w:color w:val="000000"/>
          <w:sz w:val="24"/>
          <w:szCs w:val="24"/>
          <w:lang w:val="pt-BR" w:eastAsia="en-US"/>
        </w:rPr>
        <w:t xml:space="preserve"> - Portaria nº 258/2023</w:t>
      </w:r>
    </w:p>
    <w:p>
      <w:pPr>
        <w:spacing w:line="360" w:lineRule="auto"/>
        <w:jc w:val="center"/>
        <w:rPr>
          <w:rFonts w:ascii="Times New Roman" w:hAnsi="Times New Roman" w:eastAsia="Times New Roman"/>
          <w:b/>
          <w:color w:val="000000"/>
          <w:sz w:val="24"/>
          <w:szCs w:val="24"/>
          <w:lang w:eastAsia="en-US"/>
        </w:rPr>
      </w:pPr>
    </w:p>
    <w:p>
      <w:pPr>
        <w:pStyle w:val="172"/>
        <w:spacing w:line="276" w:lineRule="auto"/>
        <w:jc w:val="center"/>
        <w:rPr>
          <w:rStyle w:val="11"/>
          <w:rFonts w:ascii="Arial" w:hAnsi="Arial" w:eastAsia="Arial Unicode MS"/>
          <w:bCs/>
          <w:color w:val="000000"/>
          <w:sz w:val="24"/>
          <w:szCs w:val="24"/>
          <w:highlight w:val="yellow"/>
        </w:rPr>
      </w:pPr>
      <w:r>
        <w:br w:type="page"/>
      </w:r>
    </w:p>
    <w:p>
      <w:pPr>
        <w:pStyle w:val="2"/>
        <w:numPr>
          <w:ilvl w:val="0"/>
          <w:numId w:val="0"/>
        </w:numPr>
        <w:spacing w:before="0" w:after="120"/>
        <w:ind w:left="0" w:firstLine="0"/>
        <w:jc w:val="center"/>
      </w:pPr>
      <w:bookmarkStart w:id="63" w:name="_Toc149517467"/>
      <w:r>
        <w:t>ANEXO II - MODELO DE DECLARAÇÕES</w:t>
      </w:r>
      <w:bookmarkEnd w:id="63"/>
    </w:p>
    <w:p>
      <w:pPr>
        <w:pStyle w:val="3"/>
        <w:tabs>
          <w:tab w:val="left" w:pos="1134"/>
        </w:tabs>
        <w:spacing w:before="120" w:beforeAutospacing="0" w:after="120" w:afterAutospacing="0"/>
        <w:jc w:val="center"/>
        <w:textAlignment w:val="baseline"/>
      </w:pPr>
    </w:p>
    <w:p>
      <w:pPr>
        <w:pStyle w:val="3"/>
        <w:tabs>
          <w:tab w:val="left" w:pos="1134"/>
        </w:tabs>
        <w:spacing w:before="120" w:beforeAutospacing="0" w:after="120" w:afterAutospacing="0"/>
        <w:jc w:val="center"/>
        <w:textAlignment w:val="baseline"/>
      </w:pPr>
      <w:r>
        <w:t>(UTILIZAR PAPEL TIMBRADO DA EMPRESA)</w:t>
      </w:r>
    </w:p>
    <w:p>
      <w:pPr>
        <w:pStyle w:val="3"/>
        <w:tabs>
          <w:tab w:val="left" w:pos="1134"/>
        </w:tabs>
        <w:spacing w:before="120" w:beforeAutospacing="0" w:after="120" w:afterAutospacing="0"/>
        <w:ind w:firstLine="567"/>
        <w:jc w:val="both"/>
        <w:textAlignment w:val="baseline"/>
      </w:pPr>
    </w:p>
    <w:p>
      <w:pPr>
        <w:pStyle w:val="3"/>
        <w:tabs>
          <w:tab w:val="left" w:pos="1134"/>
        </w:tabs>
        <w:spacing w:before="120" w:beforeAutospacing="0" w:after="120" w:afterAutospacing="0"/>
        <w:ind w:firstLine="567"/>
        <w:jc w:val="both"/>
        <w:textAlignment w:val="baseline"/>
      </w:pPr>
      <w:r>
        <w:t xml:space="preserve">A __________________________ (razão social da empresa), CNPJ nº ______________________, localizada à __________________, por seu representante legal abaixo assinado, em cumprimento ao solicitado no Edital de </w:t>
      </w:r>
      <w:r>
        <w:rPr>
          <w:rStyle w:val="45"/>
          <w:color w:val="000000" w:themeColor="text1"/>
        </w:rPr>
        <w:t>Pregão</w:t>
      </w:r>
      <w:r>
        <w:t xml:space="preserve"> nº 002/2024</w:t>
      </w:r>
    </w:p>
    <w:p>
      <w:pPr>
        <w:pStyle w:val="3"/>
        <w:numPr>
          <w:ilvl w:val="2"/>
          <w:numId w:val="1"/>
        </w:numPr>
        <w:tabs>
          <w:tab w:val="left" w:pos="1134"/>
        </w:tabs>
        <w:spacing w:before="120" w:beforeAutospacing="0" w:after="0" w:afterAutospacing="0"/>
        <w:jc w:val="both"/>
        <w:textAlignment w:val="baseline"/>
        <w:rPr>
          <w:color w:val="000000"/>
        </w:rPr>
      </w:pPr>
      <w:r>
        <w:rPr>
          <w:color w:val="000000"/>
        </w:rPr>
        <w:t>está ciente e concorda com as condições contidas no Edital e seus anexos, bem como de que cumpre plenamente os requisitos de habilitação definidos no Edital;</w:t>
      </w:r>
    </w:p>
    <w:p>
      <w:pPr>
        <w:pStyle w:val="3"/>
        <w:numPr>
          <w:ilvl w:val="2"/>
          <w:numId w:val="1"/>
        </w:numPr>
        <w:tabs>
          <w:tab w:val="left" w:pos="1134"/>
        </w:tabs>
        <w:spacing w:before="0" w:after="0"/>
        <w:jc w:val="both"/>
        <w:textAlignment w:val="baseline"/>
        <w:rPr>
          <w:color w:val="000000"/>
        </w:rPr>
      </w:pPr>
      <w:r>
        <w:rPr>
          <w:color w:val="000000"/>
        </w:rPr>
        <w:t>inexistem fatos impeditivos para sua habilitação no certame, ciente da obrigatoriedade de declarar ocorrências posteriores;</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4"/>
        </w:rPr>
        <w:instrText xml:space="preserve"> HYPERLINK "https://www.planalto.gov.br/ccivil_03/constituicao/constituicao.htm" \l "art7"</w:instrText>
      </w:r>
      <w:r>
        <w:rPr>
          <w:rStyle w:val="54"/>
        </w:rPr>
        <w:fldChar w:fldCharType="separate"/>
      </w:r>
      <w:r>
        <w:rPr>
          <w:rStyle w:val="54"/>
        </w:rPr>
        <w:t>art. 7°, XXXIII, da Constituição Federal de 1988</w:t>
      </w:r>
      <w:r>
        <w:rPr>
          <w:rStyle w:val="54"/>
        </w:rPr>
        <w:fldChar w:fldCharType="end"/>
      </w:r>
      <w:r>
        <w:rPr>
          <w:color w:val="000000"/>
        </w:rPr>
        <w:t>;</w:t>
      </w:r>
    </w:p>
    <w:p>
      <w:pPr>
        <w:pStyle w:val="3"/>
        <w:numPr>
          <w:ilvl w:val="2"/>
          <w:numId w:val="1"/>
        </w:numPr>
        <w:tabs>
          <w:tab w:val="left" w:pos="1134"/>
        </w:tabs>
        <w:spacing w:before="0" w:beforeAutospacing="0" w:after="0" w:afterAutospacing="0"/>
        <w:jc w:val="both"/>
        <w:textAlignment w:val="baseline"/>
        <w:rPr>
          <w:color w:val="000000"/>
        </w:rPr>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54"/>
        </w:rPr>
        <w:instrText xml:space="preserve"> HYPERLINK "https://www.planalto.gov.br/ccivil_03/_ato2019-2022/2021/lei/l14133.htm" \l "art14"</w:instrText>
      </w:r>
      <w:r>
        <w:rPr>
          <w:rStyle w:val="54"/>
        </w:rPr>
        <w:fldChar w:fldCharType="separate"/>
      </w:r>
      <w:r>
        <w:rPr>
          <w:rStyle w:val="54"/>
        </w:rPr>
        <w:t>art. 14, IV, da Lei Federal nº 14.133, de 2021</w:t>
      </w:r>
      <w:r>
        <w:rPr>
          <w:rStyle w:val="54"/>
        </w:rPr>
        <w:fldChar w:fldCharType="end"/>
      </w:r>
      <w:r>
        <w:rPr>
          <w:color w:val="000000"/>
        </w:rPr>
        <w:t>);</w:t>
      </w:r>
    </w:p>
    <w:p>
      <w:pPr>
        <w:pStyle w:val="3"/>
        <w:numPr>
          <w:ilvl w:val="2"/>
          <w:numId w:val="1"/>
        </w:numPr>
        <w:tabs>
          <w:tab w:val="left" w:pos="1134"/>
        </w:tabs>
        <w:spacing w:before="0" w:beforeAutospacing="0" w:after="120" w:afterAutospacing="0"/>
        <w:jc w:val="both"/>
        <w:textAlignment w:val="baseline"/>
        <w:rPr>
          <w:color w:val="000000"/>
        </w:rPr>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4"/>
        </w:rPr>
        <w:instrText xml:space="preserve"> HYPERLINK "https://www.planalto.gov.br/ccivil_03/leis/l8213cons.htm" \l "art93"</w:instrText>
      </w:r>
      <w:r>
        <w:rPr>
          <w:rStyle w:val="54"/>
        </w:rPr>
        <w:fldChar w:fldCharType="separate"/>
      </w:r>
      <w:r>
        <w:rPr>
          <w:rStyle w:val="54"/>
        </w:rPr>
        <w:t>art. 93 da Lei Federal nº 8.213, de 1991</w:t>
      </w:r>
      <w:r>
        <w:rPr>
          <w:rStyle w:val="54"/>
        </w:rPr>
        <w:fldChar w:fldCharType="end"/>
      </w:r>
      <w:r>
        <w:rPr>
          <w:color w:val="000000"/>
        </w:rPr>
        <w:t xml:space="preserve"> (</w:t>
      </w:r>
      <w:r>
        <w:fldChar w:fldCharType="begin"/>
      </w:r>
      <w:r>
        <w:rPr>
          <w:rStyle w:val="54"/>
        </w:rPr>
        <w:instrText xml:space="preserve"> HYPERLINK "https://www.planalto.gov.br/ccivil_03/_ato2019-2022/2021/lei/l14133.htm" \l "art63"</w:instrText>
      </w:r>
      <w:r>
        <w:rPr>
          <w:rStyle w:val="54"/>
        </w:rPr>
        <w:fldChar w:fldCharType="separate"/>
      </w:r>
      <w:r>
        <w:rPr>
          <w:rStyle w:val="54"/>
        </w:rPr>
        <w:t>art. 63, IV, da Lei Federal nº 14.133, de 2021</w:t>
      </w:r>
      <w:r>
        <w:rPr>
          <w:rStyle w:val="54"/>
        </w:rPr>
        <w:fldChar w:fldCharType="end"/>
      </w:r>
      <w:r>
        <w:rPr>
          <w:color w:val="000000"/>
        </w:rPr>
        <w:t>).</w:t>
      </w:r>
    </w:p>
    <w:p>
      <w:pPr>
        <w:pStyle w:val="3"/>
        <w:tabs>
          <w:tab w:val="left" w:pos="1134"/>
        </w:tabs>
        <w:spacing w:before="120" w:beforeAutospacing="0" w:after="120" w:afterAutospacing="0"/>
        <w:ind w:firstLine="567"/>
        <w:jc w:val="both"/>
        <w:textAlignment w:val="baseline"/>
      </w:pPr>
      <w:r>
        <w:t>Local e data.</w:t>
      </w:r>
    </w:p>
    <w:p>
      <w:pPr>
        <w:pStyle w:val="3"/>
        <w:tabs>
          <w:tab w:val="left" w:pos="1134"/>
        </w:tabs>
        <w:spacing w:before="120" w:beforeAutospacing="0" w:after="120" w:afterAutospacing="0"/>
        <w:ind w:firstLine="567"/>
        <w:jc w:val="both"/>
        <w:textAlignment w:val="baseline"/>
      </w:pPr>
    </w:p>
    <w:p>
      <w:pPr>
        <w:pStyle w:val="3"/>
        <w:tabs>
          <w:tab w:val="left" w:pos="1134"/>
        </w:tabs>
        <w:spacing w:before="120" w:beforeAutospacing="0" w:after="120" w:afterAutospacing="0"/>
        <w:jc w:val="center"/>
        <w:textAlignment w:val="baseline"/>
      </w:pPr>
      <w:r>
        <w:t>___________________________________________________</w:t>
      </w:r>
    </w:p>
    <w:p>
      <w:pPr>
        <w:pStyle w:val="3"/>
        <w:tabs>
          <w:tab w:val="left" w:pos="1134"/>
        </w:tabs>
        <w:spacing w:before="120" w:beforeAutospacing="0" w:after="120" w:afterAutospacing="0"/>
        <w:jc w:val="center"/>
        <w:textAlignment w:val="baseline"/>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numPr>
          <w:ilvl w:val="0"/>
          <w:numId w:val="0"/>
        </w:numPr>
        <w:spacing w:before="0" w:after="120"/>
        <w:ind w:left="0" w:firstLine="0"/>
        <w:jc w:val="center"/>
      </w:pPr>
      <w:bookmarkStart w:id="64" w:name="_Toc149517468"/>
      <w:r>
        <w:t>ANEXO III - MODELO DE PROPOSTA</w:t>
      </w:r>
      <w:bookmarkEnd w:id="64"/>
    </w:p>
    <w:p>
      <w:pPr>
        <w:pStyle w:val="3"/>
        <w:tabs>
          <w:tab w:val="left" w:pos="1134"/>
        </w:tabs>
        <w:spacing w:before="120" w:beforeAutospacing="0" w:after="120" w:afterAutospacing="0"/>
        <w:jc w:val="center"/>
        <w:textAlignment w:val="baseline"/>
      </w:pPr>
    </w:p>
    <w:p>
      <w:pPr>
        <w:pStyle w:val="3"/>
        <w:tabs>
          <w:tab w:val="left" w:pos="1134"/>
        </w:tabs>
        <w:spacing w:before="120" w:beforeAutospacing="0" w:after="120" w:afterAutospacing="0"/>
        <w:jc w:val="center"/>
        <w:textAlignment w:val="baseline"/>
      </w:pPr>
      <w:r>
        <w:t>(UTILIZAR PAPEL TIMBRADO DA EMPRESA)</w:t>
      </w:r>
    </w:p>
    <w:p>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À</w:t>
      </w:r>
    </w:p>
    <w:p>
      <w:pPr>
        <w:spacing w:before="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Câmara Municipal de Primavera do Leste - MT</w:t>
      </w:r>
    </w:p>
    <w:p>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 Pregoeiro do Pregão nº </w:t>
      </w:r>
      <w:r>
        <w:rPr>
          <w:rFonts w:ascii="Times New Roman" w:hAnsi="Times New Roman" w:cs="Times New Roman"/>
          <w:sz w:val="24"/>
          <w:szCs w:val="24"/>
          <w:shd w:val="clear" w:fill="auto"/>
        </w:rPr>
        <w:t>002/2024</w:t>
      </w:r>
    </w:p>
    <w:p>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cs="Times New Roman"/>
          <w:sz w:val="24"/>
          <w:szCs w:val="24"/>
        </w:rPr>
      </w:pPr>
      <w:r>
        <w:rPr>
          <w:rFonts w:ascii="Times New Roman" w:hAnsi="Times New Roman" w:cs="Times New Roman"/>
          <w:sz w:val="24"/>
          <w:szCs w:val="24"/>
        </w:rPr>
        <w:t>O proponente a seguir identificado:</w:t>
      </w:r>
    </w:p>
    <w:tbl>
      <w:tblPr>
        <w:tblStyle w:val="42"/>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cs="Times New Roman"/>
                <w:sz w:val="16"/>
                <w:szCs w:val="16"/>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Em atendimento ao disposto no Pregão nº </w:t>
      </w:r>
      <w:r>
        <w:rPr>
          <w:rFonts w:ascii="Times New Roman" w:hAnsi="Times New Roman" w:cs="Times New Roman"/>
          <w:sz w:val="24"/>
          <w:szCs w:val="24"/>
          <w:shd w:val="clear" w:fill="auto"/>
        </w:rPr>
        <w:t xml:space="preserve">002/2024,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rPr>
      </w:pPr>
    </w:p>
    <w:tbl>
      <w:tblPr>
        <w:tblStyle w:val="9"/>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highlight w:val="yellow"/>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Preço</w:t>
            </w:r>
          </w:p>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sz w:val="20"/>
                <w:szCs w:val="20"/>
              </w:rPr>
            </w:pPr>
            <w:r>
              <w:rPr>
                <w:rFonts w:ascii="Times New Roman" w:hAnsi="Times New Roman" w:cs="Times New Roman"/>
                <w:b/>
                <w:sz w:val="20"/>
                <w:szCs w:val="20"/>
              </w:rPr>
              <w:t>Preço</w:t>
            </w:r>
          </w:p>
          <w:p>
            <w:pPr>
              <w:spacing w:before="0" w:after="0" w:line="240" w:lineRule="auto"/>
              <w:jc w:val="center"/>
              <w:rPr>
                <w:rFonts w:ascii="Times New Roman" w:hAnsi="Times New Roman" w:cs="Times New Roman"/>
                <w:b/>
                <w:sz w:val="20"/>
                <w:szCs w:val="20"/>
              </w:rPr>
            </w:pPr>
            <w:r>
              <w:rPr>
                <w:rFonts w:ascii="Times New Roman" w:hAnsi="Times New Roman" w:cs="Times New Roman"/>
                <w:b/>
                <w:sz w:val="20"/>
                <w:szCs w:val="20"/>
              </w:rPr>
              <w:t>Total</w:t>
            </w:r>
            <w:r>
              <w:rPr>
                <w:rStyle w:val="15"/>
                <w:rFonts w:ascii="Times New Roman" w:hAnsi="Times New Roman" w:cs="Times New Roman"/>
                <w:b/>
                <w:sz w:val="20"/>
                <w:szCs w:val="20"/>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eastAsia="Times New Roman" w:cs="Times New Roman"/>
                <w:color w:val="000000"/>
                <w:sz w:val="20"/>
                <w:szCs w:val="20"/>
                <w:lang w:eastAsia="pt-BR"/>
              </w:rPr>
            </w:pPr>
            <w:r>
              <w:rPr>
                <w:rFonts w:ascii="Times New Roman" w:hAnsi="Times New Roman" w:eastAsia="Times New Roman" w:cs="Times New Roman"/>
                <w:color w:val="000000"/>
                <w:sz w:val="20"/>
                <w:szCs w:val="20"/>
                <w:highlight w:val="yellow"/>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cs="Times New Roman"/>
                <w:bCs/>
                <w:sz w:val="20"/>
                <w:szCs w:val="20"/>
              </w:rPr>
            </w:pPr>
            <w:r>
              <w:rPr>
                <w:rFonts w:ascii="Times New Roman" w:hAnsi="Times New Roman" w:eastAsia="Times New Roman" w:cs="Times New Roman"/>
                <w:color w:val="000000"/>
                <w:sz w:val="20"/>
                <w:szCs w:val="20"/>
                <w:highlight w:val="yellow"/>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cs="Times New Roman"/>
                <w:bCs/>
                <w:sz w:val="20"/>
                <w:szCs w:val="20"/>
              </w:rPr>
            </w:pPr>
            <w:r>
              <w:rPr>
                <w:rFonts w:ascii="Times New Roman" w:hAnsi="Times New Roman" w:cs="Times New Roman"/>
                <w:bCs/>
                <w:sz w:val="20"/>
                <w:szCs w:val="20"/>
                <w:highlight w:val="yellow"/>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cs="Times New Roman"/>
                <w:bCs/>
                <w:sz w:val="20"/>
                <w:szCs w:val="20"/>
                <w:highlight w:val="yellow"/>
              </w:rPr>
            </w:pPr>
            <w:r>
              <w:rPr>
                <w:rFonts w:ascii="Times New Roman" w:hAnsi="Times New Roman" w:eastAsia="Arial" w:cs="Times New Roman"/>
                <w:color w:val="000000"/>
                <w:sz w:val="20"/>
                <w:szCs w:val="20"/>
                <w:highlight w:val="yellow"/>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cs="Times New Roman"/>
                <w:bCs/>
                <w:sz w:val="20"/>
                <w:szCs w:val="20"/>
                <w:highlight w:val="yellow"/>
              </w:rPr>
            </w:pPr>
            <w:r>
              <w:rPr>
                <w:rFonts w:ascii="Times New Roman" w:hAnsi="Times New Roman" w:eastAsia="Arial" w:cs="Times New Roman"/>
                <w:color w:val="000000"/>
                <w:sz w:val="20"/>
                <w:szCs w:val="20"/>
                <w:highlight w:val="yellow"/>
              </w:rPr>
              <w:t>R$ ???.???,??</w:t>
            </w:r>
          </w:p>
        </w:tc>
      </w:tr>
    </w:tbl>
    <w:p>
      <w:pPr>
        <w:rPr>
          <w:rFonts w:ascii="Times New Roman" w:hAnsi="Times New Roman" w:cs="Times New Roman"/>
          <w:b/>
          <w:sz w:val="24"/>
          <w:szCs w:val="24"/>
        </w:rPr>
      </w:pPr>
    </w:p>
    <w:p>
      <w:pPr>
        <w:spacing w:before="0" w:after="0" w:line="240" w:lineRule="auto"/>
        <w:ind w:firstLine="2268"/>
        <w:jc w:val="both"/>
        <w:rPr>
          <w:rFonts w:ascii="Times New Roman" w:hAnsi="Times New Roman" w:cs="Times New Roman"/>
          <w:sz w:val="24"/>
          <w:szCs w:val="24"/>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cs="Times New Roman"/>
          <w:sz w:val="24"/>
          <w:szCs w:val="24"/>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pPr>
        <w:pStyle w:val="3"/>
        <w:tabs>
          <w:tab w:val="left" w:pos="1134"/>
        </w:tabs>
        <w:spacing w:before="0" w:beforeAutospacing="0" w:after="0" w:afterAutospacing="0"/>
        <w:jc w:val="center"/>
        <w:textAlignment w:val="baseline"/>
      </w:pPr>
      <w:r>
        <w:t>Nome completo e Assinatura do proponente</w:t>
      </w:r>
    </w:p>
    <w:p>
      <w:pPr>
        <w:rPr>
          <w:lang w:eastAsia="pt-BR"/>
        </w:rPr>
      </w:pPr>
      <w:r>
        <w:br w:type="page"/>
      </w:r>
    </w:p>
    <w:p>
      <w:pPr>
        <w:pStyle w:val="2"/>
        <w:numPr>
          <w:ilvl w:val="0"/>
          <w:numId w:val="0"/>
        </w:numPr>
        <w:spacing w:before="0" w:after="120"/>
        <w:ind w:left="0" w:firstLine="0"/>
        <w:jc w:val="center"/>
      </w:pPr>
      <w:bookmarkStart w:id="65" w:name="_ANEXO_V_-"/>
      <w:bookmarkEnd w:id="65"/>
      <w:bookmarkStart w:id="66" w:name="_ANEXO_IV_-"/>
      <w:bookmarkEnd w:id="66"/>
      <w:bookmarkStart w:id="67" w:name="_ANEXO_VII_-"/>
      <w:bookmarkEnd w:id="67"/>
      <w:bookmarkStart w:id="68" w:name="_Toc149517469"/>
      <w:r>
        <w:t>ANEXO IV – MINUTA DA ATA DE REGISTRO DE PREÇOS</w:t>
      </w:r>
      <w:bookmarkEnd w:id="68"/>
    </w:p>
    <w:p>
      <w:pPr>
        <w:tabs>
          <w:tab w:val="left" w:pos="1134"/>
          <w:tab w:val="left" w:pos="3001"/>
        </w:tabs>
        <w:spacing w:before="360" w:after="120" w:line="240" w:lineRule="auto"/>
        <w:ind w:firstLine="567"/>
        <w:jc w:val="both"/>
        <w:rPr>
          <w:rFonts w:ascii="Times New Roman" w:hAnsi="Times New Roman" w:cs="Times New Roman"/>
          <w:sz w:val="24"/>
          <w:szCs w:val="24"/>
          <w:lang w:eastAsia="pt-BR"/>
        </w:rPr>
      </w:pPr>
      <w:r>
        <w:rPr>
          <w:rFonts w:ascii="Times New Roman" w:hAnsi="Times New Roman" w:cs="Times New Roman"/>
          <w:b w:val="0"/>
          <w:bCs w:val="0"/>
          <w:sz w:val="24"/>
          <w:szCs w:val="24"/>
          <w:lang w:eastAsia="pt-BR"/>
        </w:rPr>
        <w:t>O MUNICÍPIO DE PRIMAVERA DO LESTE - MT, por intermédio da CÂMARA MUNICIPAL</w:t>
      </w:r>
      <w:r>
        <w:rPr>
          <w:rFonts w:ascii="Times New Roman" w:hAnsi="Times New Roman" w:cs="Arial"/>
          <w:sz w:val="24"/>
          <w:szCs w:val="24"/>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4"/>
          <w:szCs w:val="24"/>
          <w:lang w:eastAsia="en-US"/>
        </w:rPr>
        <w:t>Valdecir Alventino da Silva,</w:t>
      </w:r>
      <w:r>
        <w:rPr>
          <w:rFonts w:ascii="Times New Roman" w:hAnsi="Times New Roman" w:cs="Times New Roman"/>
          <w:sz w:val="24"/>
          <w:szCs w:val="24"/>
          <w:lang w:eastAsia="pt-BR"/>
        </w:rPr>
        <w:t xml:space="preserve"> doravante denominada ÓRGÃO GERENCIADOR, institui a presente ARP - ATA DE REGISTRO DE PREÇOS, decorrente da licitação na modalidade de Pregão, em sua forma eletrônica, sob o número </w:t>
      </w:r>
      <w:r>
        <w:rPr>
          <w:rFonts w:ascii="Times New Roman" w:hAnsi="Times New Roman" w:cs="Times New Roman"/>
          <w:sz w:val="24"/>
          <w:szCs w:val="24"/>
          <w:shd w:val="clear" w:fill="auto"/>
          <w:lang w:eastAsia="pt-BR"/>
        </w:rPr>
        <w:t xml:space="preserve">002/2024, </w:t>
      </w:r>
      <w:r>
        <w:rPr>
          <w:rFonts w:ascii="Times New Roman" w:hAnsi="Times New Roman" w:cs="Times New Roman"/>
          <w:sz w:val="24"/>
          <w:szCs w:val="24"/>
          <w:lang w:eastAsia="pt-BR"/>
        </w:rPr>
        <w:t xml:space="preserve">com critério de julgamento </w:t>
      </w:r>
      <w:r>
        <w:rPr>
          <w:rFonts w:hint="default" w:ascii="Times New Roman" w:hAnsi="Times New Roman" w:cs="Times New Roman"/>
          <w:sz w:val="24"/>
          <w:szCs w:val="24"/>
          <w:lang w:val="en-US" w:eastAsia="pt-BR"/>
        </w:rPr>
        <w:t>MENOR TAXA</w:t>
      </w:r>
      <w:bookmarkStart w:id="80" w:name="_GoBack"/>
      <w:bookmarkEnd w:id="80"/>
      <w:r>
        <w:rPr>
          <w:rFonts w:ascii="Times New Roman" w:hAnsi="Times New Roman" w:cs="Times New Roman"/>
          <w:sz w:val="24"/>
          <w:szCs w:val="24"/>
          <w:lang w:eastAsia="pt-BR"/>
        </w:rPr>
        <w:t xml:space="preserve">, cujo objeto é a </w:t>
      </w:r>
      <w:r>
        <w:rPr>
          <w:rFonts w:ascii="Times New Roman" w:hAnsi="Times New Roman" w:cs="Times New Roman"/>
          <w:b/>
          <w:bCs/>
          <w:color w:val="000000"/>
          <w:kern w:val="0"/>
          <w:sz w:val="22"/>
          <w:szCs w:val="22"/>
          <w:shd w:val="clear" w:fill="auto"/>
          <w:lang w:val="pt-BR" w:eastAsia="pt-BR" w:bidi="ar-SA"/>
        </w:rPr>
        <w:t>Contratação de empresa especializada no Gerenciamento de Frotas e Combustível</w:t>
      </w:r>
      <w:r>
        <w:rPr>
          <w:rStyle w:val="45"/>
          <w:rFonts w:ascii="Times New Roman" w:hAnsi="Times New Roman" w:cs="Times New Roman"/>
          <w:color w:val="000000"/>
          <w:sz w:val="22"/>
          <w:szCs w:val="22"/>
          <w:shd w:val="clear" w:fill="auto"/>
          <w:lang w:eastAsia="pt-BR"/>
        </w:rPr>
        <w:t xml:space="preserve"> </w:t>
      </w:r>
      <w:r>
        <w:rPr>
          <w:rStyle w:val="45"/>
          <w:rFonts w:ascii="Times New Roman" w:hAnsi="Times New Roman" w:cs="Times New Roman"/>
          <w:b/>
          <w:bCs/>
          <w:color w:val="000000"/>
          <w:sz w:val="22"/>
          <w:szCs w:val="22"/>
          <w:shd w:val="clear" w:fill="auto"/>
          <w:lang w:eastAsia="pt-BR"/>
        </w:rPr>
        <w:t>por menor taxa de administração,</w:t>
      </w:r>
      <w:r>
        <w:rPr>
          <w:rFonts w:ascii="Times New Roman" w:hAnsi="Times New Roman" w:cs="Times New Roman"/>
          <w:sz w:val="24"/>
          <w:szCs w:val="24"/>
          <w:lang w:eastAsia="pt-BR"/>
        </w:rPr>
        <w:t xml:space="preserve"> processada nos termos do Processo Administrativo nº 00</w:t>
      </w:r>
      <w:r>
        <w:rPr>
          <w:rFonts w:ascii="Times New Roman" w:hAnsi="Times New Roman" w:cs="Times New Roman"/>
          <w:sz w:val="24"/>
          <w:szCs w:val="24"/>
          <w:shd w:val="clear" w:fill="auto"/>
          <w:lang w:eastAsia="pt-BR"/>
        </w:rPr>
        <w:t>9/2024,</w:t>
      </w:r>
      <w:r>
        <w:rPr>
          <w:rFonts w:ascii="Times New Roman" w:hAnsi="Times New Roman" w:cs="Times New Roman"/>
          <w:sz w:val="24"/>
          <w:szCs w:val="24"/>
          <w:lang w:eastAsia="pt-BR"/>
        </w:rPr>
        <w:t xml:space="preserve"> o qual se constitui em documento vinculativo e obrigacional às partes, à luz da permissão inserta no </w:t>
      </w:r>
      <w:r>
        <w:fldChar w:fldCharType="begin"/>
      </w:r>
      <w:r>
        <w:rPr>
          <w:rStyle w:val="54"/>
          <w:rFonts w:ascii="Times New Roman" w:hAnsi="Times New Roman"/>
          <w:sz w:val="24"/>
          <w:szCs w:val="24"/>
          <w:lang w:eastAsia="pt-BR"/>
        </w:rPr>
        <w:instrText xml:space="preserve"> HYPERLINK "https://www.planalto.gov.br/ccivil_03/_ato2019-2022/2021/lei/l14133.htm" \l "art40"</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40, II</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xml:space="preserve">, </w:t>
      </w:r>
      <w:r>
        <w:fldChar w:fldCharType="begin"/>
      </w:r>
      <w:r>
        <w:rPr>
          <w:rStyle w:val="54"/>
          <w:rFonts w:ascii="Times New Roman" w:hAnsi="Times New Roman"/>
          <w:sz w:val="24"/>
          <w:szCs w:val="24"/>
          <w:lang w:eastAsia="pt-BR"/>
        </w:rPr>
        <w:instrText xml:space="preserve"> HYPERLINK "https://www.planalto.gov.br/ccivil_03/_ato2019-2022/2021/lei/l14133.htm" \l "art78"</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78, IV</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xml:space="preserve">, e </w:t>
      </w:r>
      <w:r>
        <w:fldChar w:fldCharType="begin"/>
      </w:r>
      <w:r>
        <w:rPr>
          <w:rStyle w:val="54"/>
          <w:rFonts w:ascii="Times New Roman" w:hAnsi="Times New Roman"/>
          <w:sz w:val="24"/>
          <w:szCs w:val="24"/>
          <w:lang w:eastAsia="pt-BR"/>
        </w:rPr>
        <w:instrText xml:space="preserve"> HYPERLINK "https://www.planalto.gov.br/ccivil_03/_ato2019-2022/2021/lei/l14133.htm" \l "art82"</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82</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xml:space="preserve"> a </w:t>
      </w:r>
      <w:r>
        <w:fldChar w:fldCharType="begin"/>
      </w:r>
      <w:r>
        <w:rPr>
          <w:rStyle w:val="54"/>
          <w:rFonts w:ascii="Times New Roman" w:hAnsi="Times New Roman"/>
          <w:sz w:val="24"/>
          <w:szCs w:val="24"/>
          <w:lang w:eastAsia="pt-BR"/>
        </w:rPr>
        <w:instrText xml:space="preserve"> HYPERLINK "https://www.planalto.gov.br/ccivil_03/_ato2019-2022/2021/lei/l14133.htm" \l "art86"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86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xml:space="preserve">, regulamentado </w:t>
      </w:r>
      <w:r>
        <w:rPr>
          <w:rFonts w:ascii="Times New Roman" w:hAnsi="Times New Roman" w:cs="Times New Roman"/>
          <w:color w:val="000000"/>
          <w:sz w:val="24"/>
          <w:szCs w:val="24"/>
          <w:lang w:eastAsia="pt-BR"/>
        </w:rPr>
        <w:t>Decreto Estadual n</w:t>
      </w:r>
      <w:r>
        <w:rPr>
          <w:rFonts w:ascii="Times New Roman" w:hAnsi="Times New Roman" w:cs="Times New Roman"/>
          <w:b/>
          <w:bCs/>
          <w:color w:val="000000"/>
          <w:sz w:val="24"/>
          <w:szCs w:val="24"/>
          <w:lang w:eastAsia="pt-BR"/>
        </w:rPr>
        <w:t xml:space="preserve">º </w:t>
      </w:r>
      <w:r>
        <w:rPr>
          <w:rFonts w:ascii="Times New Roman" w:hAnsi="Times New Roman" w:cs="Times New Roman"/>
          <w:color w:val="000000"/>
          <w:sz w:val="24"/>
          <w:szCs w:val="24"/>
          <w:lang w:eastAsia="pt-BR"/>
        </w:rPr>
        <w:t>7.217/2006, e em conformidade com as disposições a seguir:</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OBJETO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presente Ata tem por objeto o REGISTRO DE PREÇOS para a eventual contratação de serviços d</w:t>
      </w:r>
      <w:r>
        <w:rPr>
          <w:rFonts w:ascii="Times New Roman" w:hAnsi="Times New Roman" w:cs="Times New Roman"/>
          <w:sz w:val="24"/>
          <w:szCs w:val="24"/>
          <w:shd w:val="clear" w:fill="auto"/>
          <w:lang w:eastAsia="pt-BR"/>
        </w:rPr>
        <w:t xml:space="preserve">e </w:t>
      </w:r>
      <w:r>
        <w:rPr>
          <w:rFonts w:ascii="Times New Roman" w:hAnsi="Times New Roman" w:cs="Times New Roman"/>
          <w:b/>
          <w:bCs/>
          <w:sz w:val="24"/>
          <w:szCs w:val="24"/>
          <w:shd w:val="clear" w:fill="auto"/>
          <w:lang w:eastAsia="pt-BR"/>
        </w:rPr>
        <w:t>Empresa para a prestação de serviços de administração e gerenciamento informatizado para fornecimento de combustíveis e lubrificantes, bem como serviços de manutenção preventiva e corretiva de veículos como o fornecimento de peças acessórios multimarcas, através de redes de estabelecimentos credenciados pela contratada, com a implantação e operação de sistema informatizado e integrado para gestão da frota, com tecnologia de cartão magnético com chip (tipo smart) ou cartão com tarja magnética, valor estimado do combustível baseado no preço médio do combustível divulgado pela Agência Nacional de Petróleo - ANP - RONDONÓPOLIS, para atendimento à frota pertencente a Câmara Municipal de Primavera do Leste/ MT</w:t>
      </w:r>
      <w:r>
        <w:rPr>
          <w:rFonts w:ascii="Times New Roman" w:hAnsi="Times New Roman" w:cs="Times New Roman"/>
          <w:sz w:val="24"/>
          <w:szCs w:val="24"/>
          <w:shd w:val="clear" w:fill="auto"/>
          <w:lang w:eastAsia="pt-BR"/>
        </w:rPr>
        <w:t>, especificado no item único do Termo de Referência, Anexo I do Edital do Pregão nº 002,</w:t>
      </w:r>
      <w:r>
        <w:rPr>
          <w:rFonts w:ascii="Times New Roman" w:hAnsi="Times New Roman" w:cs="Times New Roman"/>
          <w:sz w:val="24"/>
          <w:szCs w:val="24"/>
          <w:lang w:eastAsia="pt-BR"/>
        </w:rPr>
        <w:t xml:space="preserve"> de 2024, que é parte integrante desta Ata, assim como as propostas cujos preços tenham sido registrados, independentemente de transcrição, cujas especificações, preço(s), marca(s)/modelo(s), quantitativo(s) e fornecedor(es) foram previamente definidos por meio do procedimento licitatório supracitado.</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 xml:space="preserve">ÓRGÃOS GERENCIADOR E PARTICIPANTES </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O ÓRGÃO GERENCIADOR da presente Ata de Registro de Preço - ARP será a Câmara Municipal de Primavera do Leste - MT, já identificado no preâmbulo. </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Além do gerenciador, são órgãos e entidades públicas participantes do presente registro de preços:</w:t>
      </w:r>
    </w:p>
    <w:tbl>
      <w:tblPr>
        <w:tblStyle w:val="9"/>
        <w:tblW w:w="6847" w:type="dxa"/>
        <w:jc w:val="center"/>
        <w:tblLayout w:type="fixed"/>
        <w:tblCellMar>
          <w:top w:w="0" w:type="dxa"/>
          <w:left w:w="108" w:type="dxa"/>
          <w:bottom w:w="0" w:type="dxa"/>
          <w:right w:w="108" w:type="dxa"/>
        </w:tblCellMar>
      </w:tblPr>
      <w:tblGrid>
        <w:gridCol w:w="2223"/>
        <w:gridCol w:w="2389"/>
        <w:gridCol w:w="2235"/>
      </w:tblGrid>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Item nº</w:t>
            </w:r>
          </w:p>
        </w:tc>
        <w:tc>
          <w:tcPr>
            <w:tcW w:w="238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Órgão(s) Participante(s)</w:t>
            </w:r>
          </w:p>
        </w:tc>
        <w:tc>
          <w:tcPr>
            <w:tcW w:w="223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Quantidade</w:t>
            </w: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0"/>
                <w:szCs w:val="20"/>
                <w:lang w:eastAsia="pt-BR"/>
              </w:rPr>
            </w:pPr>
            <w:r>
              <w:rPr>
                <w:rFonts w:ascii="Times New Roman" w:hAnsi="Times New Roman" w:cs="Times New Roman"/>
                <w:sz w:val="20"/>
                <w:szCs w:val="20"/>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0"/>
                <w:szCs w:val="20"/>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0"/>
                <w:szCs w:val="20"/>
                <w:lang w:eastAsia="pt-BR"/>
              </w:rPr>
            </w:pP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0"/>
                <w:szCs w:val="20"/>
                <w:lang w:eastAsia="pt-BR"/>
              </w:rPr>
            </w:pPr>
            <w:r>
              <w:rPr>
                <w:rFonts w:ascii="Times New Roman" w:hAnsi="Times New Roman" w:cs="Times New Roman"/>
                <w:sz w:val="20"/>
                <w:szCs w:val="20"/>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0"/>
                <w:szCs w:val="20"/>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0"/>
                <w:szCs w:val="20"/>
                <w:lang w:eastAsia="pt-BR"/>
              </w:rPr>
            </w:pPr>
          </w:p>
        </w:tc>
      </w:tr>
    </w:tbl>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REGISTROS FORMALIZADOS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 presente ARP estabelece as cláusulas e condições gerais para o REGISTRO DE PREÇOS com vistas à futura e eventual contratação de serviços de </w:t>
      </w:r>
      <w:r>
        <w:rPr>
          <w:rFonts w:ascii="Times New Roman" w:hAnsi="Times New Roman" w:cs="Times New Roman"/>
          <w:b/>
          <w:bCs/>
          <w:sz w:val="24"/>
          <w:szCs w:val="24"/>
          <w:shd w:val="clear" w:fill="auto"/>
          <w:lang w:eastAsia="pt-BR"/>
        </w:rPr>
        <w:t>Empresa para a prestação de serviços de administração e gerenciamento informatizado para fornecimento de combustíveis e lubrificantes, bem como serviços de manutenção preventiva e corretiva de veículos como o fornecimento de peças acessórios multimarcas, através de redes de estabelecimentos credenciados pela contratada, com a implantação e operação de sistema informatizado e integrado para gestão da frota, com tecnologia de cartão magnético com chip (tipo smart) ou cartão com tarja magnética, valor estimado do combustível baseado no preço médio do combustível divulgado pela Agência Nacional de Petróleo - ANP - RONDONÓPOLIS, para atendimento à frota pertencente a Câmara Municipal de Primavera do Leste/ MT</w:t>
      </w:r>
      <w:r>
        <w:rPr>
          <w:rFonts w:ascii="Times New Roman" w:hAnsi="Times New Roman" w:cs="Times New Roman"/>
          <w:sz w:val="24"/>
          <w:szCs w:val="24"/>
          <w:lang w:eastAsia="pt-BR"/>
        </w:rPr>
        <w:t xml:space="preserve"> para atender às demandas da Câmara Municipal de Primavera do Leste - MT, cujas especificações, preço(s), marca(s)/modelo(s), quantitativo(s) e fornecedor(es) foram previamente definidos por meio do procedimento licitatório supracitado.</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DOS PREÇOS, ESPECIFICAÇÕES E QUANTITATIVOS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O preço registrado, as especificações do objeto, as quantidades mínimas e máximas de cada item, fornecedor(es) e as demais condições ofertadas na(s) proposta(s) são as que seguem: </w:t>
      </w:r>
    </w:p>
    <w:tbl>
      <w:tblPr>
        <w:tblStyle w:val="9"/>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Empresa: </w:t>
            </w:r>
            <w:r>
              <w:rPr>
                <w:rFonts w:ascii="Times New Roman" w:hAnsi="Times New Roman" w:cs="Times New Roman"/>
                <w:sz w:val="24"/>
                <w:szCs w:val="24"/>
                <w:highlight w:val="yellow"/>
                <w:lang w:eastAsia="pt-BR"/>
              </w:rPr>
              <w:t>XXXXXXXXXXXX</w:t>
            </w:r>
            <w:r>
              <w:rPr>
                <w:rFonts w:ascii="Times New Roman" w:hAnsi="Times New Roman" w:cs="Times New Roman"/>
                <w:sz w:val="24"/>
                <w:szCs w:val="24"/>
                <w:lang w:eastAsia="pt-BR"/>
              </w:rPr>
              <w:t xml:space="preserve"> - CNPJ: </w:t>
            </w:r>
            <w:r>
              <w:rPr>
                <w:rFonts w:ascii="Times New Roman" w:hAnsi="Times New Roman" w:cs="Times New Roman"/>
                <w:sz w:val="24"/>
                <w:szCs w:val="24"/>
                <w:highlight w:val="yellow"/>
                <w:lang w:eastAsia="pt-BR"/>
              </w:rPr>
              <w:t>XXXXXXXXXXX</w:t>
            </w:r>
          </w:p>
          <w:p>
            <w:pPr>
              <w:tabs>
                <w:tab w:val="left" w:pos="3001"/>
              </w:tabs>
              <w:spacing w:before="0" w:after="0"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Representante Legal: </w:t>
            </w:r>
            <w:r>
              <w:rPr>
                <w:rFonts w:ascii="Times New Roman" w:hAnsi="Times New Roman" w:cs="Times New Roman"/>
                <w:sz w:val="24"/>
                <w:szCs w:val="24"/>
                <w:highlight w:val="yellow"/>
                <w:lang w:eastAsia="pt-BR"/>
              </w:rPr>
              <w:t>XXX</w:t>
            </w:r>
          </w:p>
          <w:p>
            <w:pPr>
              <w:tabs>
                <w:tab w:val="left" w:pos="3001"/>
              </w:tabs>
              <w:spacing w:before="0" w:after="0"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Telefone: </w:t>
            </w:r>
            <w:r>
              <w:rPr>
                <w:rFonts w:ascii="Times New Roman" w:hAnsi="Times New Roman" w:cs="Times New Roman"/>
                <w:sz w:val="24"/>
                <w:szCs w:val="24"/>
                <w:highlight w:val="yellow"/>
                <w:lang w:eastAsia="pt-BR"/>
              </w:rPr>
              <w:t>(XX) XXXX-XXXX</w:t>
            </w:r>
            <w:r>
              <w:rPr>
                <w:rFonts w:ascii="Times New Roman" w:hAnsi="Times New Roman" w:cs="Times New Roman"/>
                <w:sz w:val="24"/>
                <w:szCs w:val="24"/>
                <w:lang w:eastAsia="pt-BR"/>
              </w:rPr>
              <w:t xml:space="preserve"> - E-mail: </w:t>
            </w:r>
            <w:r>
              <w:rPr>
                <w:rFonts w:ascii="Times New Roman" w:hAnsi="Times New Roman" w:cs="Times New Roman"/>
                <w:sz w:val="24"/>
                <w:szCs w:val="24"/>
                <w:highlight w:val="yellow"/>
                <w:lang w:eastAsia="pt-BR"/>
              </w:rPr>
              <w:t>XXX</w:t>
            </w:r>
          </w:p>
          <w:p>
            <w:pPr>
              <w:spacing w:before="0" w:after="0" w:line="240" w:lineRule="auto"/>
              <w:rPr>
                <w:rFonts w:ascii="Times New Roman" w:hAnsi="Times New Roman" w:cs="Times New Roman"/>
                <w:b/>
                <w:sz w:val="20"/>
                <w:szCs w:val="20"/>
              </w:rPr>
            </w:pPr>
            <w:r>
              <w:rPr>
                <w:rFonts w:ascii="Times New Roman" w:hAnsi="Times New Roman" w:cs="Times New Roman"/>
                <w:sz w:val="24"/>
                <w:szCs w:val="24"/>
                <w:lang w:eastAsia="pt-BR"/>
              </w:rPr>
              <w:t xml:space="preserve">Endereço: </w:t>
            </w:r>
            <w:r>
              <w:rPr>
                <w:rFonts w:ascii="Times New Roman" w:hAnsi="Times New Roman" w:cs="Times New Roman"/>
                <w:sz w:val="24"/>
                <w:szCs w:val="24"/>
                <w:highlight w:val="yellow"/>
                <w:lang w:eastAsia="pt-BR"/>
              </w:rPr>
              <w:t>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highlight w:val="yellow"/>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Preço</w:t>
            </w:r>
          </w:p>
          <w:p>
            <w:pPr>
              <w:spacing w:before="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cs="Times New Roman"/>
                <w:b/>
                <w:sz w:val="20"/>
                <w:szCs w:val="20"/>
              </w:rPr>
            </w:pPr>
            <w:r>
              <w:rPr>
                <w:rFonts w:ascii="Times New Roman" w:hAnsi="Times New Roman" w:cs="Times New Roman"/>
                <w:b/>
                <w:sz w:val="20"/>
                <w:szCs w:val="20"/>
              </w:rPr>
              <w:t>Preço</w:t>
            </w:r>
          </w:p>
          <w:p>
            <w:pPr>
              <w:spacing w:before="0" w:after="0" w:line="240" w:lineRule="auto"/>
              <w:jc w:val="center"/>
              <w:rPr>
                <w:rFonts w:ascii="Times New Roman" w:hAnsi="Times New Roman" w:cs="Times New Roman"/>
                <w:b/>
                <w:sz w:val="20"/>
                <w:szCs w:val="20"/>
              </w:rPr>
            </w:pPr>
            <w:r>
              <w:rPr>
                <w:rFonts w:ascii="Times New Roman" w:hAnsi="Times New Roman" w:cs="Times New Roman"/>
                <w:b/>
                <w:sz w:val="20"/>
                <w:szCs w:val="20"/>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eastAsia="Times New Roman" w:cs="Times New Roman"/>
                <w:color w:val="000000"/>
                <w:sz w:val="20"/>
                <w:szCs w:val="20"/>
                <w:lang w:eastAsia="pt-BR"/>
              </w:rPr>
            </w:pPr>
            <w:r>
              <w:rPr>
                <w:rFonts w:ascii="Times New Roman" w:hAnsi="Times New Roman" w:eastAsia="Times New Roman" w:cs="Times New Roman"/>
                <w:color w:val="000000"/>
                <w:sz w:val="20"/>
                <w:szCs w:val="20"/>
                <w:highlight w:val="yellow"/>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cs="Times New Roman"/>
                <w:bCs/>
                <w:sz w:val="20"/>
                <w:szCs w:val="20"/>
              </w:rPr>
            </w:pPr>
            <w:r>
              <w:rPr>
                <w:rFonts w:ascii="Times New Roman" w:hAnsi="Times New Roman" w:eastAsia="Times New Roman" w:cs="Times New Roman"/>
                <w:color w:val="000000"/>
                <w:sz w:val="20"/>
                <w:szCs w:val="20"/>
                <w:highlight w:val="yellow"/>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cs="Times New Roman"/>
                <w:bCs/>
                <w:sz w:val="20"/>
                <w:szCs w:val="20"/>
                <w:highlight w:val="yellow"/>
              </w:rPr>
            </w:pPr>
            <w:r>
              <w:rPr>
                <w:rFonts w:ascii="Times New Roman" w:hAnsi="Times New Roman" w:cs="Times New Roman"/>
                <w:bCs/>
                <w:sz w:val="20"/>
                <w:szCs w:val="20"/>
                <w:highlight w:val="yellow"/>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cs="Times New Roman"/>
                <w:bCs/>
                <w:sz w:val="20"/>
                <w:szCs w:val="20"/>
                <w:highlight w:val="yellow"/>
              </w:rPr>
            </w:pPr>
            <w:r>
              <w:rPr>
                <w:rFonts w:ascii="Times New Roman" w:hAnsi="Times New Roman" w:eastAsia="Arial" w:cs="Times New Roman"/>
                <w:color w:val="000000"/>
                <w:sz w:val="20"/>
                <w:szCs w:val="20"/>
                <w:highlight w:val="yellow"/>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cs="Times New Roman"/>
                <w:bCs/>
                <w:sz w:val="20"/>
                <w:szCs w:val="20"/>
                <w:highlight w:val="yellow"/>
              </w:rPr>
            </w:pPr>
            <w:r>
              <w:rPr>
                <w:rFonts w:ascii="Times New Roman" w:hAnsi="Times New Roman" w:eastAsia="Arial" w:cs="Times New Roman"/>
                <w:color w:val="000000"/>
                <w:sz w:val="20"/>
                <w:szCs w:val="20"/>
                <w:highlight w:val="yellow"/>
              </w:rPr>
              <w:t>R$ XXXXX</w:t>
            </w:r>
          </w:p>
        </w:tc>
      </w:tr>
    </w:tbl>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Termo de Referência contendo as especificações técnicas completas e todas as condições gerais de execução do objeto;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Proposta(s) comercial(is) do(s) particular(es) cujo(s) preço(s) conta(m) registrado(s);</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E</w:t>
      </w:r>
      <w:r>
        <w:rPr>
          <w:rFonts w:ascii="Times New Roman" w:hAnsi="Times New Roman" w:cs="Times New Roman"/>
          <w:sz w:val="24"/>
          <w:szCs w:val="24"/>
          <w:shd w:val="clear" w:fill="auto"/>
          <w:lang w:eastAsia="pt-BR"/>
        </w:rPr>
        <w:t>dital do Pregão nº 002/2024.</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VIGÊNCIA DA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54"/>
          <w:rFonts w:ascii="Times New Roman" w:hAnsi="Times New Roman"/>
          <w:sz w:val="24"/>
          <w:szCs w:val="24"/>
          <w:lang w:eastAsia="pt-BR"/>
        </w:rPr>
        <w:t>https://pncp.gov.br/</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e poderá ser prorrogado por igual período, desde que comprovado que o preço é vantajoso.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prorrogação da vigência da ARP dependerá da concordância das partes e de comprovação da vantajosidade dos preços.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prorrogação da vigência da ARP será registrada mediante termo de prorrogação pactuado pelas partes nos autos de gestão da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prorrogação da vigência da ARP deverá ser publicada e divulgada nos meios oficiais de publicação e divulgação.</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CONTRATAÇÕES FUTURAS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54"/>
          <w:rFonts w:ascii="Times New Roman" w:hAnsi="Times New Roman"/>
          <w:sz w:val="24"/>
          <w:szCs w:val="24"/>
          <w:lang w:eastAsia="pt-BR"/>
        </w:rPr>
        <w:instrText xml:space="preserve"> HYPERLINK "https://www.planalto.gov.br/ccivil_03/_ato2019-2022/2021/lei/l14133.htm" \l "art82"</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82, § 2º,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contratação decorrente deverá observar as condições fixadas no Edital de Licitação referente ao Pregão nº</w:t>
      </w:r>
      <w:r>
        <w:rPr>
          <w:rFonts w:ascii="Times New Roman" w:hAnsi="Times New Roman" w:cs="Times New Roman"/>
          <w:sz w:val="24"/>
          <w:szCs w:val="24"/>
          <w:shd w:val="clear" w:fill="auto"/>
          <w:lang w:eastAsia="pt-BR"/>
        </w:rPr>
        <w:t xml:space="preserve"> 002/2024 </w:t>
      </w:r>
      <w:r>
        <w:rPr>
          <w:rFonts w:ascii="Times New Roman" w:hAnsi="Times New Roman" w:cs="Times New Roman"/>
          <w:sz w:val="24"/>
          <w:szCs w:val="24"/>
          <w:lang w:eastAsia="pt-BR"/>
        </w:rPr>
        <w:t>e seus anexos.</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VÍNCULOS DA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w:t>
      </w:r>
      <w:r>
        <w:rPr>
          <w:rFonts w:ascii="Times New Roman" w:hAnsi="Times New Roman" w:cs="Times New Roman"/>
          <w:sz w:val="24"/>
          <w:szCs w:val="24"/>
          <w:shd w:val="clear" w:fill="auto"/>
          <w:lang w:eastAsia="pt-BR"/>
        </w:rPr>
        <w:t>nº 002/2024.</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ADESÃO DE ÓRGÃO OU ENTIDADE PÚBLICA NÃO PARTICIPANTE</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54"/>
          <w:rFonts w:ascii="Times New Roman" w:hAnsi="Times New Roman"/>
          <w:sz w:val="24"/>
          <w:szCs w:val="24"/>
          <w:lang w:eastAsia="pt-BR"/>
        </w:rPr>
        <w:instrText xml:space="preserve"> HYPERLINK "https://www.planalto.gov.br/ccivil_03/_ato2019-2022/2021/lei/l14133.htm" \l "art86"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86, §§ 2º a 5º,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desde que observadas as disposições abaixo: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órgão ou entidade pública interessado na adesão deverá consultar prévia e diretamente o fornecedor titular da ARP, visando obter a concordância formal com a contratação pretendida.</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É faculdade do fornecedor titular da ARP, observadas as condições nela estabelecidas, a aceitação ou não da contratação decorrente de adesão, independentemente de qualquer justificativa formal.</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Cabe ao órgão ou entidade aderente encaminhar ao GERENCIADOR a concordância do fornecedor.</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54"/>
          <w:rFonts w:ascii="Times New Roman" w:hAnsi="Times New Roman"/>
          <w:sz w:val="24"/>
          <w:szCs w:val="24"/>
          <w:lang w:eastAsia="pt-BR"/>
        </w:rPr>
        <w:t>compras@primaveradoleste.mt.leg.br</w:t>
      </w:r>
      <w:r>
        <w:rPr>
          <w:rStyle w:val="54"/>
          <w:rFonts w:ascii="Times New Roman" w:hAnsi="Times New Roman"/>
          <w:sz w:val="24"/>
          <w:szCs w:val="24"/>
          <w:lang w:eastAsia="pt-BR"/>
        </w:rPr>
        <w:fldChar w:fldCharType="end"/>
      </w:r>
      <w:r>
        <w:rPr>
          <w:rFonts w:ascii="Times New Roman" w:hAnsi="Times New Roman" w:cs="Times New Roman"/>
          <w:sz w:val="24"/>
          <w:szCs w:val="24"/>
        </w:rPr>
        <w:t xml:space="preserve">, </w:t>
      </w:r>
      <w:r>
        <w:rPr>
          <w:rFonts w:ascii="Times New Roman" w:hAnsi="Times New Roman" w:cs="Times New Roman"/>
          <w:sz w:val="24"/>
          <w:szCs w:val="24"/>
          <w:lang w:eastAsia="pt-BR"/>
        </w:rPr>
        <w:t>no qual deverá constar o objeto que interessa contratar, o respectivo quantitativo pretendido e a concordância do fornecedor para fins de análise e manifestação sobre a possibilidade de adesão.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LIMITES PARA ADESÕES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54"/>
          <w:rFonts w:ascii="Times New Roman" w:hAnsi="Times New Roman"/>
          <w:sz w:val="24"/>
          <w:szCs w:val="24"/>
          <w:lang w:eastAsia="pt-BR"/>
        </w:rPr>
        <w:instrText xml:space="preserve"> HYPERLINK "https://www.planalto.gov.br/ccivil_03/_ato2019-2022/2021/lei/l14133.htm" \l "art82"</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82, § 2º,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Apenas durante a vigência da presente ARP.</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COMUNICAÇÃO AO GERENCIADOR</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VEDAÇÃO A ACRÉSCIMO DE QUANTITATIVOS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É vedado efetuar acréscimos nos quantitativos fixados na ata de registro de preços.</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CONTRATAÇÃO DECORRENTE DA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 contratação com o(s) fornecedor(es) registrado(s) na ARP deverá ser formalizada no prazo de validade da Ata e será formalizada por intermédio da emissão de Instrumento de Contrato (Anexo V do Edital do Pregão nº </w:t>
      </w:r>
      <w:r>
        <w:rPr>
          <w:rFonts w:ascii="Times New Roman" w:hAnsi="Times New Roman" w:cs="Times New Roman"/>
          <w:sz w:val="24"/>
          <w:szCs w:val="24"/>
          <w:shd w:val="clear" w:fill="auto"/>
          <w:lang w:eastAsia="pt-BR"/>
        </w:rPr>
        <w:t>002/2024)</w:t>
      </w:r>
      <w:r>
        <w:rPr>
          <w:rFonts w:ascii="Times New Roman" w:hAnsi="Times New Roman" w:cs="Times New Roman"/>
          <w:sz w:val="24"/>
          <w:szCs w:val="24"/>
          <w:lang w:eastAsia="pt-BR"/>
        </w:rPr>
        <w:t xml:space="preserve">, conforme o </w:t>
      </w:r>
      <w:r>
        <w:fldChar w:fldCharType="begin"/>
      </w:r>
      <w:r>
        <w:rPr>
          <w:rStyle w:val="54"/>
          <w:rFonts w:ascii="Times New Roman" w:hAnsi="Times New Roman"/>
          <w:sz w:val="24"/>
          <w:szCs w:val="24"/>
          <w:lang w:eastAsia="pt-BR"/>
        </w:rPr>
        <w:instrText xml:space="preserve"> HYPERLINK "https://www.planalto.gov.br/ccivil_03/_ato2019-2022/2021/lei/l14133.htm" \l "art95"</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95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não havendo a formalização de Instrumento de Contrato.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Na formalização da contratação deverá haver a indicação da disponibilidade dos créditos orçamentários respectivos.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As contratações decorrentes do sistema de registro de preços poderão ser alteradas, observado o disposto no </w:t>
      </w:r>
      <w:r>
        <w:fldChar w:fldCharType="begin"/>
      </w:r>
      <w:r>
        <w:rPr>
          <w:rStyle w:val="54"/>
          <w:rFonts w:ascii="Times New Roman" w:hAnsi="Times New Roman"/>
          <w:sz w:val="24"/>
          <w:szCs w:val="24"/>
          <w:lang w:eastAsia="pt-BR"/>
        </w:rPr>
        <w:instrText xml:space="preserve"> HYPERLINK "https://www.planalto.gov.br/ccivil_03/_ato2019-2022/2021/lei/l14133.htm" \l "art124"</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arts. 124 a 136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ATRIBUIÇÕES DO GERENCIADOR DA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Cabe ao setor ou servidor designado do ÓRGÃO GERENCIADOR, conforme regulamento operacional interno, as atribuições inerentes ao gerenciamento da presente ARP, particularmente quanto a(ao):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Providenciar a elaboração e publicação da presente ARP;</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Encaminhar ao(s) órgão(s) e/ou entidade(s) participantes a presente ARP, como também suas eventuais e posteriores alterações, devidamente assinadas e publicadas;</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Controlar, de forma permanente, a utilização da ARP para fins de contratações, durante toda sua vigência;</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Conduzir eventuais procedimentos de alterações dos preços registrados para fins de adequação às novas condições de mercado, observada a legislação vigente e jurisprudência do TCU;</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Instruir os autos de gestão da presente ARP.</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ATRIBUIÇÕES DO PARTICIPANTE</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Ao órgão ou entidade PARTICIPANTE compete:</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Tomar conhecimento da ARP, incluindo eventuais alterações, cancelamentos e revogações, a fim de utilizá-la de forma correta;</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Verificar a conformidade das condições registradas na ARP junto ao mercado local, informando ao ÓRGÃO GERENCIADOR eventuais desvantagens verificadas para fins de renegociação ou cancelamento;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Acompanhar e fiscalizar o fiel cumprimento das obrigações contidas no edital da licitação e na ARP, informando ao ÓRGÃO GERENCIADOR qualquer irregularidade ou inadimplemento do particular;</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OBRIGAÇÕES DO FORNECEDOR</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FORNECEDOR cujo preço conste registrado na presente ARP obriga-se a:</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Retirar a respectiva nota de empenho no prazo máximo de 5 (cinco) dias úteis, contados da convocação;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Respeitar as demais condições e obrigações contidas nesta ARP e no Edital e Anexos do Pregão nº</w:t>
      </w:r>
      <w:r>
        <w:rPr>
          <w:rFonts w:ascii="Times New Roman" w:hAnsi="Times New Roman" w:cs="Times New Roman"/>
          <w:sz w:val="24"/>
          <w:szCs w:val="24"/>
          <w:shd w:val="clear" w:fill="auto"/>
          <w:lang w:eastAsia="pt-BR"/>
        </w:rPr>
        <w:t xml:space="preserve"> 002/2024,</w:t>
      </w:r>
      <w:r>
        <w:rPr>
          <w:rFonts w:ascii="Times New Roman" w:hAnsi="Times New Roman" w:cs="Times New Roman"/>
          <w:sz w:val="24"/>
          <w:szCs w:val="24"/>
          <w:lang w:eastAsia="pt-BR"/>
        </w:rPr>
        <w:t xml:space="preserve"> ressalvada a ocorrência de fato(s) superveniente(s), comprovados(s) e aceito(s) pelo ÓRGÃO GERENCIADOR;</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Providenciar a imediata correção de deficiências, falhas ou irregularidades constatadas pela(s) CONTRATANTE(S) referentes às condições firmadas na presente ARP;</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Fornecer, sempre que solicitado, no prazo máximo de 5 (cinco) dias úteis, documentação de habilitação e qualificação cujas validades encontrem-se vencidas;</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Prover condições que possibilitem o atendimento das obrigações firmadas a partir da data de homologação do procedimento licitatório;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Ressarcir os eventuais prejuízos causados aos órgãos contratantes e/ou a terceiros, provocados por ineficiência ou irregularidades cometidas na execução das obrigações assumidas na ARP;</w:t>
      </w:r>
    </w:p>
    <w:p>
      <w:pPr>
        <w:pStyle w:val="60"/>
        <w:numPr>
          <w:ilvl w:val="2"/>
          <w:numId w:val="11"/>
        </w:numPr>
        <w:tabs>
          <w:tab w:val="left" w:pos="1276"/>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Responsabilizar-se pelos encargos trabalhistas, previdenciários, fiscais e comerciais resultantes da execução do contrato;</w:t>
      </w:r>
    </w:p>
    <w:p>
      <w:pPr>
        <w:pStyle w:val="60"/>
        <w:numPr>
          <w:ilvl w:val="2"/>
          <w:numId w:val="11"/>
        </w:numPr>
        <w:tabs>
          <w:tab w:val="left" w:pos="1276"/>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Manter, durante a vigência da presente ata, em compatibilidade com as obrigações assumidas na proposta, todas as condições de participação e de habilitação exigidas na licitação.</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CADASTRO RESERVA DE FORNECEDORES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54"/>
          <w:rFonts w:ascii="Times New Roman" w:hAnsi="Times New Roman"/>
          <w:sz w:val="24"/>
          <w:szCs w:val="24"/>
          <w:lang w:eastAsia="pt-BR"/>
        </w:rPr>
        <w:instrText xml:space="preserve"> HYPERLINK "https://www.planalto.gov.br/ccivil_03/_ato2019-2022/2021/lei/l14133.htm" \l "art82"</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82, VII, e § 5º, VI,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formação de CADASTRO RESERVA vincula o(s) licitante(s) ao(s) preço(s) da proposta do titular, obrigando-se a assumir a titularidade em caso de cancelamento do registro do titular, observada a ORDEM DE CLASSIFICAÇÃO.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Caberá ao agente de contratação responsável pelo julgamento do certame para seleção do titular da presente ARP realizar o procedimento de análise dos critérios indicados no item anterior.</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Havendo alteração da titularidade do registro com base no CADASTRO RESERVA, deverá a ARP ser republicada para fins de eficácia.</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PUBLICIDADE E DIVULGAÇÃO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54"/>
          <w:rFonts w:ascii="Times New Roman" w:hAnsi="Times New Roman"/>
          <w:sz w:val="24"/>
          <w:szCs w:val="24"/>
          <w:lang w:eastAsia="pt-BR"/>
        </w:rPr>
        <w:t>https://pncp.gov.br/</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xml:space="preserve">), bem como, em forma de extrato, no </w:t>
      </w:r>
      <w:r>
        <w:fldChar w:fldCharType="begin"/>
      </w:r>
      <w:r>
        <w:instrText xml:space="preserve"> HYPERLINK "https://www.in.gov.br/servicos/diario-oficial-da-uniao" \h </w:instrText>
      </w:r>
      <w:r>
        <w:fldChar w:fldCharType="separate"/>
      </w:r>
      <w:r>
        <w:rPr>
          <w:rStyle w:val="54"/>
          <w:rFonts w:ascii="Times New Roman" w:hAnsi="Times New Roman"/>
          <w:sz w:val="24"/>
          <w:szCs w:val="24"/>
          <w:lang w:eastAsia="pt-BR"/>
        </w:rPr>
        <w:t>Diário Oficial</w:t>
      </w:r>
      <w:r>
        <w:rPr>
          <w:rStyle w:val="54"/>
          <w:rFonts w:ascii="Times New Roman" w:hAnsi="Times New Roman"/>
          <w:sz w:val="24"/>
          <w:szCs w:val="24"/>
          <w:lang w:eastAsia="pt-BR"/>
        </w:rPr>
        <w:fldChar w:fldCharType="end"/>
      </w:r>
      <w:r>
        <w:rPr>
          <w:rFonts w:ascii="Times New Roman" w:hAnsi="Times New Roman" w:cs="Times New Roman"/>
          <w:sz w:val="24"/>
          <w:szCs w:val="24"/>
        </w:rPr>
        <w:t>.</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54"/>
          <w:rFonts w:ascii="Times New Roman" w:hAnsi="Times New Roman"/>
          <w:sz w:val="24"/>
          <w:szCs w:val="24"/>
        </w:rPr>
        <w:t>https://www.primaveradoleste.mt.leg.br/</w:t>
      </w:r>
      <w:r>
        <w:rPr>
          <w:rStyle w:val="54"/>
          <w:rFonts w:ascii="Times New Roman" w:hAnsi="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eastAsia="pt-BR"/>
        </w:rPr>
        <w:t>, inclusive com a íntegra da ARP e alterações posteriores.</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ALTERAÇÕES DOS PREÇOS REGISTRADOS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3"/>
        <w:tabs>
          <w:tab w:val="left" w:pos="1134"/>
        </w:tabs>
        <w:spacing w:before="120" w:beforeAutospacing="0" w:after="120" w:afterAutospacing="0"/>
        <w:ind w:left="1134"/>
        <w:jc w:val="both"/>
        <w:textAlignment w:val="baseline"/>
        <w:rPr>
          <w:b/>
          <w:bCs/>
          <w:color w:val="000000" w:themeColor="text1"/>
        </w:rPr>
      </w:pPr>
      <w:r>
        <w:rPr>
          <w:b/>
          <w:bCs/>
          <w:color w:val="000000" w:themeColor="text1"/>
        </w:rPr>
        <w:t>PR = PI x IR</w:t>
      </w:r>
    </w:p>
    <w:p>
      <w:pPr>
        <w:pStyle w:val="3"/>
        <w:tabs>
          <w:tab w:val="left" w:pos="1134"/>
        </w:tabs>
        <w:spacing w:before="120" w:beforeAutospacing="0" w:after="120" w:afterAutospacing="0"/>
        <w:ind w:left="567"/>
        <w:jc w:val="both"/>
        <w:textAlignment w:val="baseline"/>
        <w:rPr>
          <w:color w:val="000000" w:themeColor="text1"/>
        </w:rPr>
      </w:pPr>
      <w:r>
        <w:rPr>
          <w:color w:val="000000" w:themeColor="text1"/>
        </w:rPr>
        <w:t>Onde:</w:t>
      </w:r>
    </w:p>
    <w:p>
      <w:pPr>
        <w:pStyle w:val="3"/>
        <w:tabs>
          <w:tab w:val="left" w:pos="1134"/>
        </w:tabs>
        <w:spacing w:before="120" w:beforeAutospacing="0" w:after="120" w:afterAutospacing="0"/>
        <w:ind w:left="1134"/>
        <w:jc w:val="both"/>
        <w:textAlignment w:val="baseline"/>
        <w:rPr>
          <w:color w:val="000000" w:themeColor="text1"/>
        </w:rPr>
      </w:pPr>
      <w:r>
        <w:rPr>
          <w:b/>
          <w:bCs/>
          <w:color w:val="000000" w:themeColor="text1"/>
        </w:rPr>
        <w:t>PR</w:t>
      </w:r>
      <w:r>
        <w:rPr>
          <w:color w:val="000000" w:themeColor="text1"/>
        </w:rPr>
        <w:t xml:space="preserve"> = Preço reajustado </w:t>
      </w:r>
    </w:p>
    <w:p>
      <w:pPr>
        <w:pStyle w:val="3"/>
        <w:tabs>
          <w:tab w:val="left" w:pos="1134"/>
        </w:tabs>
        <w:spacing w:before="120" w:beforeAutospacing="0" w:after="120" w:afterAutospacing="0"/>
        <w:ind w:left="1134"/>
        <w:jc w:val="both"/>
        <w:textAlignment w:val="baseline"/>
        <w:rPr>
          <w:color w:val="000000" w:themeColor="text1"/>
        </w:rPr>
      </w:pPr>
      <w:r>
        <w:rPr>
          <w:b/>
          <w:bCs/>
          <w:color w:val="000000" w:themeColor="text1"/>
        </w:rPr>
        <w:t>PI</w:t>
      </w:r>
      <w:r>
        <w:rPr>
          <w:color w:val="000000" w:themeColor="text1"/>
        </w:rPr>
        <w:t xml:space="preserve"> = Preço inicial da Ata de Registro de Preços</w:t>
      </w:r>
    </w:p>
    <w:p>
      <w:pPr>
        <w:pStyle w:val="3"/>
        <w:tabs>
          <w:tab w:val="left" w:pos="1134"/>
        </w:tabs>
        <w:spacing w:before="120" w:beforeAutospacing="0" w:after="120" w:afterAutospacing="0"/>
        <w:ind w:left="1134"/>
        <w:jc w:val="both"/>
        <w:textAlignment w:val="baseline"/>
        <w:rPr>
          <w:color w:val="000000" w:themeColor="text1"/>
        </w:rPr>
      </w:pPr>
      <w:r>
        <w:rPr>
          <w:b/>
          <w:bCs/>
          <w:color w:val="000000" w:themeColor="text1"/>
        </w:rPr>
        <w:t xml:space="preserve">IR </w:t>
      </w:r>
      <w:r>
        <w:rPr>
          <w:color w:val="000000" w:themeColor="text1"/>
        </w:rPr>
        <w:t>= Índice de reajuste</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Do mesmo modo, à Administração pode solicitar a REVISÃO dos preços registrados em caso de desequilíbrio econômico-financeiro em seu desfavor.</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54"/>
          <w:rFonts w:ascii="Times New Roman" w:hAnsi="Times New Roman"/>
          <w:sz w:val="24"/>
          <w:szCs w:val="24"/>
          <w:lang w:eastAsia="pt-BR"/>
        </w:rPr>
        <w:instrText xml:space="preserve"> HYPERLINK "https://www.planalto.gov.br/ccivil_03/_ato2019-2022/2021/lei/l14133.htm" \l "art124"</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124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54"/>
          <w:rFonts w:ascii="Times New Roman" w:hAnsi="Times New Roman"/>
          <w:sz w:val="24"/>
          <w:szCs w:val="24"/>
          <w:lang w:eastAsia="pt-BR"/>
        </w:rPr>
        <w:instrText xml:space="preserve"> HYPERLINK "https://www.planalto.gov.br/ccivil_03/_ato2019-2022/2021/lei/l14133.htm" \l "art124"</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124 da Lei Federal nº 14.133/2021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e nos seguintes casos:</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ausência de comprovação da elevação dos encargos do particular;</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ocorrência de evento antes da formulação das propostas;</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ausência de vínculo de causalidade entre o evento ocorrido e a majoração dos encargos do fornecedor;</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culpa do fornecedor pela majoração dos seus encargos (o que inclui a previsibilidade da ocorrência do evento).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54"/>
          <w:rFonts w:ascii="Times New Roman" w:hAnsi="Times New Roman"/>
          <w:sz w:val="24"/>
          <w:szCs w:val="24"/>
          <w:lang w:eastAsia="pt-BR"/>
        </w:rPr>
        <w:instrText xml:space="preserve"> HYPERLINK "https://www.planalto.gov.br/ccivil_03/_ato2019-2022/2021/lei/l14133.htm" \l "art156"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156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e na legislação aplicável</w:t>
      </w:r>
      <w:bookmarkStart w:id="69" w:name="nao_comprovacao_majoracao_mercado"/>
      <w:bookmarkEnd w:id="69"/>
      <w:r>
        <w:rPr>
          <w:rFonts w:ascii="Times New Roman" w:hAnsi="Times New Roman" w:cs="Times New Roman"/>
          <w:sz w:val="24"/>
          <w:szCs w:val="24"/>
          <w:lang w:eastAsia="pt-BR"/>
        </w:rPr>
        <w:t>, mantendo-se hígidas e vigentes as contratações já formalizadas ou solicitadas, bem como os demais itens/grupos não afetados pelo requerido desequilíbrio de preços de mercado.</w:t>
      </w:r>
    </w:p>
    <w:p>
      <w:pPr>
        <w:pStyle w:val="60"/>
        <w:numPr>
          <w:ilvl w:val="1"/>
          <w:numId w:val="11"/>
        </w:numPr>
        <w:tabs>
          <w:tab w:val="left" w:pos="1276"/>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0"/>
        <w:numPr>
          <w:ilvl w:val="1"/>
          <w:numId w:val="11"/>
        </w:numPr>
        <w:tabs>
          <w:tab w:val="left" w:pos="1276"/>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Toda alteração da presente ARP será publicada e divulgada, nos termos fixados no item 11 desta ARP.</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REMANEJAMENTO DAS QUANTIDADES REGISTRADAS NA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O remanejamento somente poderá ser feito: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De órgão ou entidade participante para órgão ou entidade participante; ou</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De órgão ou entidade participante para órgão ou entidade não participante.</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órgão gerenciador que tiver estimado as quantidades que pretende contratar será considerado participante para efeito do remanejamento.</w:t>
      </w:r>
      <w:bookmarkStart w:id="70" w:name="gerenciador_estimador_é_partic_em_remane"/>
      <w:bookmarkEnd w:id="70"/>
    </w:p>
    <w:p>
      <w:pPr>
        <w:pStyle w:val="60"/>
        <w:numPr>
          <w:ilvl w:val="1"/>
          <w:numId w:val="11"/>
        </w:numPr>
        <w:tabs>
          <w:tab w:val="left" w:pos="1134"/>
          <w:tab w:val="left" w:pos="3001"/>
        </w:tabs>
        <w:spacing w:before="120" w:after="120" w:line="240" w:lineRule="auto"/>
        <w:ind w:left="0" w:firstLine="567"/>
        <w:contextualSpacing w:val="0"/>
        <w:jc w:val="both"/>
        <w:rPr>
          <w:rFonts w:asciiTheme="minorHAnsi" w:hAnsiTheme="minorHAnsi" w:eastAsiaTheme="minorHAnsi" w:cstheme="minorBidi"/>
          <w:highlight w:val="none"/>
          <w:shd w:val="clear" w:fill="auto"/>
        </w:rPr>
      </w:pPr>
      <w:r>
        <w:rPr>
          <w:rFonts w:ascii="Times New Roman" w:hAnsi="Times New Roman" w:cs="Times New Roman"/>
          <w:sz w:val="24"/>
          <w:szCs w:val="24"/>
          <w:shd w:val="clear" w:fill="auto"/>
          <w:lang w:eastAsia="pt-BR"/>
        </w:rPr>
        <w:t>Na hipótese de remanejamento de órgão ou entidade participante para órgão ou entidade não participante, serão observados os limites previstos nas Leis nº 14.133 de 2021 e nº 14.770 de 2023.</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shd w:val="clear" w:fill="auto"/>
          <w:lang w:eastAsia="pt-BR"/>
        </w:rPr>
        <w:t>Competirá</w:t>
      </w:r>
      <w:r>
        <w:rPr>
          <w:rFonts w:ascii="Times New Roman" w:hAnsi="Times New Roman" w:cs="Times New Roman"/>
          <w:sz w:val="24"/>
          <w:szCs w:val="24"/>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CANCELAMENTO DO REGISTRO DO LICITANTE VENCEDOR E DOS PREÇOS REGISTRADOS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registro do fornecedor será cancelado pelo gerenciador, quando o fornecedor:</w:t>
      </w:r>
      <w:bookmarkStart w:id="71" w:name="cancelamento_do_fornecedor"/>
      <w:bookmarkEnd w:id="71"/>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Descumprir as condições da ata de registro de preços, sem motivo justificado;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Não retirar a nota de empenho, ou instrumento equivalente, no prazo estabelecido pela Administração sem justificativa razoável;</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Não aceitar manter seu preço registrado;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Sofrer sanção prevista no </w:t>
      </w:r>
      <w:r>
        <w:fldChar w:fldCharType="begin"/>
      </w:r>
      <w:r>
        <w:rPr>
          <w:rStyle w:val="54"/>
          <w:rFonts w:ascii="Times New Roman" w:hAnsi="Times New Roman"/>
          <w:sz w:val="24"/>
          <w:szCs w:val="24"/>
          <w:lang w:eastAsia="pt-BR"/>
        </w:rPr>
        <w:instrText xml:space="preserve"> HYPERLINK "https://www.planalto.gov.br/ccivil_03/_ato2019-2022/2021/lei/l14133.htm" \l "art156"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 xml:space="preserve">inciso III do </w:t>
      </w:r>
      <w:r>
        <w:rPr>
          <w:rStyle w:val="54"/>
          <w:rFonts w:ascii="Times New Roman" w:hAnsi="Times New Roman"/>
          <w:sz w:val="24"/>
          <w:szCs w:val="24"/>
          <w:lang w:eastAsia="pt-BR"/>
        </w:rPr>
        <w:fldChar w:fldCharType="end"/>
      </w:r>
      <w:r>
        <w:rPr>
          <w:rStyle w:val="54"/>
          <w:rFonts w:ascii="Times New Roman" w:hAnsi="Times New Roman"/>
          <w:i/>
          <w:iCs/>
          <w:sz w:val="24"/>
          <w:szCs w:val="24"/>
          <w:lang w:eastAsia="pt-BR"/>
        </w:rPr>
        <w:t>caput</w:t>
      </w:r>
      <w:r>
        <w:rPr>
          <w:rStyle w:val="54"/>
          <w:rFonts w:ascii="Times New Roman" w:hAnsi="Times New Roman"/>
          <w:sz w:val="24"/>
          <w:szCs w:val="24"/>
          <w:lang w:eastAsia="pt-BR"/>
        </w:rPr>
        <w:t xml:space="preserve"> do art. 156 da Lei Federal nº 14.133, de 2021</w:t>
      </w:r>
      <w:r>
        <w:rPr>
          <w:rFonts w:ascii="Times New Roman" w:hAnsi="Times New Roman" w:cs="Times New Roman"/>
          <w:sz w:val="24"/>
          <w:szCs w:val="24"/>
          <w:lang w:eastAsia="pt-BR"/>
        </w:rPr>
        <w:t>, aplicada por qualquer órgão da União Federal (</w:t>
      </w:r>
      <w:r>
        <w:fldChar w:fldCharType="begin"/>
      </w:r>
      <w:r>
        <w:rPr>
          <w:rStyle w:val="54"/>
          <w:rFonts w:ascii="Times New Roman" w:hAnsi="Times New Roman"/>
          <w:sz w:val="24"/>
          <w:szCs w:val="24"/>
          <w:lang w:eastAsia="pt-BR"/>
        </w:rPr>
        <w:instrText xml:space="preserve"> HYPERLINK "https://www.planalto.gov.br/ccivil_03/_ato2019-2022/2021/lei/l14133.htm" \l "art156"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156, § 4º,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ou</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Sofrer sanção prevista no </w:t>
      </w:r>
      <w:r>
        <w:fldChar w:fldCharType="begin"/>
      </w:r>
      <w:r>
        <w:rPr>
          <w:rStyle w:val="54"/>
          <w:rFonts w:ascii="Times New Roman" w:hAnsi="Times New Roman"/>
          <w:sz w:val="24"/>
          <w:szCs w:val="24"/>
          <w:lang w:eastAsia="pt-BR"/>
        </w:rPr>
        <w:instrText xml:space="preserve"> HYPERLINK "https://www.planalto.gov.br/ccivil_03/_ato2019-2022/2021/lei/l14133.htm" \l "art156"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 xml:space="preserve">inciso IV do </w:t>
      </w:r>
      <w:r>
        <w:rPr>
          <w:rStyle w:val="54"/>
          <w:rFonts w:ascii="Times New Roman" w:hAnsi="Times New Roman"/>
          <w:sz w:val="24"/>
          <w:szCs w:val="24"/>
          <w:lang w:eastAsia="pt-BR"/>
        </w:rPr>
        <w:fldChar w:fldCharType="end"/>
      </w:r>
      <w:r>
        <w:rPr>
          <w:rStyle w:val="54"/>
          <w:rFonts w:ascii="Times New Roman" w:hAnsi="Times New Roman"/>
          <w:i/>
          <w:iCs/>
          <w:sz w:val="24"/>
          <w:szCs w:val="24"/>
          <w:lang w:eastAsia="pt-BR"/>
        </w:rPr>
        <w:t>caput</w:t>
      </w:r>
      <w:r>
        <w:rPr>
          <w:rStyle w:val="54"/>
          <w:rFonts w:ascii="Times New Roman" w:hAnsi="Times New Roman"/>
          <w:sz w:val="24"/>
          <w:szCs w:val="24"/>
          <w:lang w:eastAsia="pt-BR"/>
        </w:rPr>
        <w:t xml:space="preserve"> do art. 156 da Lei Federal nº 14.133, de 2021</w:t>
      </w:r>
      <w:r>
        <w:rPr>
          <w:rFonts w:ascii="Times New Roman" w:hAnsi="Times New Roman" w:cs="Times New Roman"/>
          <w:sz w:val="24"/>
          <w:szCs w:val="24"/>
          <w:lang w:eastAsia="pt-BR"/>
        </w:rPr>
        <w:t>, no caso de declaração de inidoneidade para contratar com a Administração Pública.</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Na hipótese de aplicação de sanção prevista nos </w:t>
      </w:r>
      <w:r>
        <w:fldChar w:fldCharType="begin"/>
      </w:r>
      <w:r>
        <w:rPr>
          <w:rStyle w:val="54"/>
          <w:rFonts w:ascii="Times New Roman" w:hAnsi="Times New Roman"/>
          <w:sz w:val="24"/>
          <w:szCs w:val="24"/>
          <w:lang w:eastAsia="pt-BR"/>
        </w:rPr>
        <w:instrText xml:space="preserve"> HYPERLINK "https://www.planalto.gov.br/ccivil_03/_ato2019-2022/2021/lei/l14133.htm" \l "art156"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 xml:space="preserve">incisos III ou IV do </w:t>
      </w:r>
      <w:r>
        <w:rPr>
          <w:rStyle w:val="54"/>
          <w:rFonts w:ascii="Times New Roman" w:hAnsi="Times New Roman"/>
          <w:sz w:val="24"/>
          <w:szCs w:val="24"/>
          <w:lang w:eastAsia="pt-BR"/>
        </w:rPr>
        <w:fldChar w:fldCharType="end"/>
      </w:r>
      <w:r>
        <w:rPr>
          <w:rStyle w:val="54"/>
          <w:rFonts w:ascii="Times New Roman" w:hAnsi="Times New Roman"/>
          <w:i/>
          <w:iCs/>
          <w:sz w:val="24"/>
          <w:szCs w:val="24"/>
          <w:lang w:eastAsia="pt-BR"/>
        </w:rPr>
        <w:t>caput</w:t>
      </w:r>
      <w:r>
        <w:rPr>
          <w:rStyle w:val="54"/>
          <w:rFonts w:ascii="Times New Roman" w:hAnsi="Times New Roman"/>
          <w:sz w:val="24"/>
          <w:szCs w:val="24"/>
          <w:lang w:eastAsia="pt-BR"/>
        </w:rPr>
        <w:t xml:space="preserve"> do art. 156 da Lei Federal nº 14.133, de 2021</w:t>
      </w:r>
      <w:r>
        <w:rPr>
          <w:rFonts w:ascii="Times New Roman" w:hAnsi="Times New Roman" w:cs="Times New Roman"/>
          <w:sz w:val="24"/>
          <w:szCs w:val="24"/>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O cancelamento de registros será formalizado por despacho do órgão gerenciador, garantidos os princípios do contraditório e da ampla defesa.</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Na hipótese de cancelamento do registro do fornecedor, o órgão gerenciador poderá convocar os licitantes que compõem o cadastro de reserva, observada a ordem de classificação.</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cancelamento dos preços registrados poderá ser realizado pelo gerenciador, em determinada ata de registro de preços, total ou parcialmente, nas seguintes hipóteses, desde que devidamente comprovadas e justificadas:</w:t>
      </w:r>
      <w:bookmarkStart w:id="72" w:name="cancelamento_da_ata"/>
      <w:bookmarkEnd w:id="72"/>
      <w:r>
        <w:rPr>
          <w:rFonts w:ascii="Times New Roman" w:hAnsi="Times New Roman" w:cs="Times New Roman"/>
          <w:sz w:val="24"/>
          <w:szCs w:val="24"/>
          <w:lang w:eastAsia="pt-BR"/>
        </w:rPr>
        <w:t xml:space="preserve"> </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Por razão de interesse público;</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 pedido do fornecedor, decorrente de caso fortuito ou força maior; ou</w:t>
      </w:r>
    </w:p>
    <w:p>
      <w:pPr>
        <w:pStyle w:val="60"/>
        <w:numPr>
          <w:ilvl w:val="2"/>
          <w:numId w:val="11"/>
        </w:numPr>
        <w:tabs>
          <w:tab w:val="left" w:pos="1134"/>
          <w:tab w:val="left" w:pos="3001"/>
        </w:tabs>
        <w:spacing w:before="120" w:after="120" w:line="240" w:lineRule="auto"/>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Se não houver êxito nas negociações, nas hipóteses em que o preço de mercado tornar-se superior ou inferior ao preço registrado. </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SANÇÕES ADMINISTRATIVAS POR DESCUMPRIMENTO DE OBRIGAÇÕES CONTIDAS NA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As empresas com preços registrados nesta ARP e signatárias dos respectivos contratos estarão sujeitas às sanções administrativas previstas neste Edital de Licitação do Pregão nº</w:t>
      </w:r>
      <w:r>
        <w:rPr>
          <w:rFonts w:ascii="Times New Roman" w:hAnsi="Times New Roman" w:cs="Times New Roman"/>
          <w:color w:val="000000"/>
          <w:sz w:val="24"/>
          <w:szCs w:val="24"/>
          <w:shd w:val="clear" w:fill="auto"/>
          <w:lang w:eastAsia="pt-BR"/>
        </w:rPr>
        <w:t xml:space="preserve"> 002/2024, </w:t>
      </w:r>
      <w:r>
        <w:rPr>
          <w:rFonts w:ascii="Times New Roman" w:hAnsi="Times New Roman" w:cs="Times New Roman"/>
          <w:sz w:val="24"/>
          <w:szCs w:val="24"/>
          <w:lang w:eastAsia="pt-BR"/>
        </w:rPr>
        <w:t>sem prejuízo de outras previstas em legislação pertinente e da responsabilidade civil e criminal que seus atos ensejarem.</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órgão ou entidade participante deverá comunicar ao órgão gerenciador qualquer das ocorrências passível de cancelamento do registro do fornecedor.</w:t>
      </w:r>
    </w:p>
    <w:p>
      <w:pPr>
        <w:pStyle w:val="60"/>
        <w:numPr>
          <w:ilvl w:val="0"/>
          <w:numId w:val="11"/>
        </w:numPr>
        <w:tabs>
          <w:tab w:val="left" w:pos="3001"/>
        </w:tabs>
        <w:spacing w:before="240" w:after="120" w:line="240" w:lineRule="auto"/>
        <w:ind w:left="357" w:hanging="357"/>
        <w:contextualSpacing w:val="0"/>
        <w:jc w:val="both"/>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CANCELAMENTO E RESCISÃO DA ARP</w:t>
      </w:r>
    </w:p>
    <w:p>
      <w:pPr>
        <w:pStyle w:val="60"/>
        <w:numPr>
          <w:ilvl w:val="1"/>
          <w:numId w:val="11"/>
        </w:numPr>
        <w:tabs>
          <w:tab w:val="left" w:pos="1134"/>
          <w:tab w:val="left" w:pos="3001"/>
        </w:tabs>
        <w:spacing w:before="120" w:after="120" w:line="240" w:lineRule="auto"/>
        <w:ind w:left="0" w:firstLine="567"/>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O registro de preços poderá ser CANCELADO/REVOGADO, por ITEM/GRUPO, por iniciativa do ÓRGÃO GERENCIADOR, quando:</w:t>
      </w:r>
    </w:p>
    <w:p>
      <w:pPr>
        <w:pStyle w:val="60"/>
        <w:keepNext w:val="0"/>
        <w:keepLines w:val="0"/>
        <w:pageBreakBefore w:val="0"/>
        <w:widowControl/>
        <w:numPr>
          <w:ilvl w:val="2"/>
          <w:numId w:val="11"/>
        </w:numPr>
        <w:tabs>
          <w:tab w:val="left" w:pos="1134"/>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4"/>
          <w:szCs w:val="24"/>
          <w:shd w:val="clear" w:fill="auto"/>
          <w:lang w:eastAsia="pt-BR"/>
        </w:rPr>
        <w:t xml:space="preserve"> item 12 </w:t>
      </w:r>
      <w:r>
        <w:rPr>
          <w:rFonts w:ascii="Times New Roman" w:hAnsi="Times New Roman" w:cs="Times New Roman"/>
          <w:sz w:val="24"/>
          <w:szCs w:val="24"/>
          <w:lang w:eastAsia="pt-BR"/>
        </w:rPr>
        <w:t xml:space="preserve">desta ARP, na </w:t>
      </w:r>
      <w:r>
        <w:fldChar w:fldCharType="begin"/>
      </w:r>
      <w:r>
        <w:instrText xml:space="preserve"> HYPERLINK "https://www.planalto.gov.br/ccivil_03/_ato2019-2022/2021/lei/l14133.htm" \h </w:instrText>
      </w:r>
      <w:r>
        <w:fldChar w:fldCharType="separate"/>
      </w:r>
      <w:r>
        <w:rPr>
          <w:rStyle w:val="54"/>
          <w:rFonts w:ascii="Times New Roman" w:hAnsi="Times New Roman"/>
          <w:sz w:val="24"/>
          <w:szCs w:val="24"/>
          <w:lang w:eastAsia="pt-BR"/>
        </w:rPr>
        <w:t>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w:t>
      </w:r>
    </w:p>
    <w:p>
      <w:pPr>
        <w:pStyle w:val="60"/>
        <w:keepNext w:val="0"/>
        <w:keepLines w:val="0"/>
        <w:pageBreakBefore w:val="0"/>
        <w:widowControl/>
        <w:numPr>
          <w:ilvl w:val="2"/>
          <w:numId w:val="11"/>
        </w:numPr>
        <w:tabs>
          <w:tab w:val="left" w:pos="1134"/>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0"/>
        <w:keepNext w:val="0"/>
        <w:keepLines w:val="0"/>
        <w:pageBreakBefore w:val="0"/>
        <w:widowControl/>
        <w:numPr>
          <w:ilvl w:val="2"/>
          <w:numId w:val="11"/>
        </w:numPr>
        <w:tabs>
          <w:tab w:val="left" w:pos="1134"/>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Presentes razões de conveniência e oportunidade ao interesse público, devidamente justificadas.</w:t>
      </w:r>
    </w:p>
    <w:p>
      <w:pPr>
        <w:pStyle w:val="60"/>
        <w:keepNext w:val="0"/>
        <w:keepLines w:val="0"/>
        <w:pageBreakBefore w:val="0"/>
        <w:widowControl/>
        <w:numPr>
          <w:ilvl w:val="1"/>
          <w:numId w:val="11"/>
        </w:numPr>
        <w:tabs>
          <w:tab w:val="left" w:pos="1134"/>
          <w:tab w:val="left" w:pos="3001"/>
        </w:tabs>
        <w:kinsoku/>
        <w:wordWrap/>
        <w:overflowPunct/>
        <w:topLinePunct w:val="0"/>
        <w:autoSpaceDE/>
        <w:autoSpaceDN/>
        <w:bidi w:val="0"/>
        <w:adjustRightInd/>
        <w:snapToGrid/>
        <w:spacing w:before="0" w:after="0" w:line="240" w:lineRule="auto"/>
        <w:ind w:left="0" w:firstLine="567"/>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O registro de preços poderá ser RESCINDIDO, por iniciativa do ÓRGÃO GERENCIADOR, observada a gravidade da conduta e os reflexos em relação ao interesse público, quando o titular do registro:</w:t>
      </w:r>
    </w:p>
    <w:p>
      <w:pPr>
        <w:pStyle w:val="60"/>
        <w:keepNext w:val="0"/>
        <w:keepLines w:val="0"/>
        <w:pageBreakBefore w:val="0"/>
        <w:widowControl/>
        <w:numPr>
          <w:ilvl w:val="2"/>
          <w:numId w:val="11"/>
        </w:numPr>
        <w:tabs>
          <w:tab w:val="left" w:pos="1134"/>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Não executar de forma total ou parcial qualificada as obrigações presentes nesta ARP;</w:t>
      </w:r>
    </w:p>
    <w:p>
      <w:pPr>
        <w:pStyle w:val="60"/>
        <w:keepNext w:val="0"/>
        <w:keepLines w:val="0"/>
        <w:pageBreakBefore w:val="0"/>
        <w:widowControl/>
        <w:numPr>
          <w:ilvl w:val="2"/>
          <w:numId w:val="11"/>
        </w:numPr>
        <w:tabs>
          <w:tab w:val="left" w:pos="1134"/>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Recusar-se a retirar e assinar a nota de empenho ou instrumento contratual no prazo estabelecido, salvo por motivo devidamente justificado e aceito pelo órgão ou entidade Contratante;</w:t>
      </w:r>
    </w:p>
    <w:p>
      <w:pPr>
        <w:pStyle w:val="60"/>
        <w:keepNext w:val="0"/>
        <w:keepLines w:val="0"/>
        <w:pageBreakBefore w:val="0"/>
        <w:widowControl/>
        <w:numPr>
          <w:ilvl w:val="2"/>
          <w:numId w:val="11"/>
        </w:numPr>
        <w:tabs>
          <w:tab w:val="left" w:pos="1134"/>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Der causa à rescisão administrativa de dois ou mais contratos firmados com base neste ARP;</w:t>
      </w:r>
    </w:p>
    <w:p>
      <w:pPr>
        <w:pStyle w:val="60"/>
        <w:keepNext w:val="0"/>
        <w:keepLines w:val="0"/>
        <w:pageBreakBefore w:val="0"/>
        <w:widowControl/>
        <w:numPr>
          <w:ilvl w:val="2"/>
          <w:numId w:val="11"/>
        </w:numPr>
        <w:tabs>
          <w:tab w:val="left" w:pos="1134"/>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Não mantiver as condições de participação e de habilitação exigidas na licitação, salvo irregularidade temporária e sanável em até 30 (trinta) dias corridos; ou</w:t>
      </w:r>
    </w:p>
    <w:p>
      <w:pPr>
        <w:pStyle w:val="60"/>
        <w:keepNext w:val="0"/>
        <w:keepLines w:val="0"/>
        <w:pageBreakBefore w:val="0"/>
        <w:widowControl/>
        <w:numPr>
          <w:ilvl w:val="2"/>
          <w:numId w:val="11"/>
        </w:numPr>
        <w:tabs>
          <w:tab w:val="left" w:pos="1276"/>
          <w:tab w:val="left" w:pos="3001"/>
        </w:tabs>
        <w:kinsoku/>
        <w:wordWrap/>
        <w:overflowPunct/>
        <w:topLinePunct w:val="0"/>
        <w:autoSpaceDE/>
        <w:autoSpaceDN/>
        <w:bidi w:val="0"/>
        <w:adjustRightInd/>
        <w:snapToGrid/>
        <w:spacing w:before="0" w:after="0" w:line="240" w:lineRule="auto"/>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Sofrer sanção prevista no </w:t>
      </w:r>
      <w:r>
        <w:fldChar w:fldCharType="begin"/>
      </w:r>
      <w:r>
        <w:rPr>
          <w:rStyle w:val="54"/>
          <w:rFonts w:ascii="Times New Roman" w:hAnsi="Times New Roman"/>
          <w:sz w:val="24"/>
          <w:szCs w:val="24"/>
          <w:lang w:eastAsia="pt-BR"/>
        </w:rPr>
        <w:instrText xml:space="preserve"> HYPERLINK "https://www.planalto.gov.br/ccivil_03/_ato2019-2022/2021/lei/l14133.htm" \l "art156"</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156, III ou IV, da Lei Federal nº 14.133, de 2021</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xml:space="preserve">, ou no </w:t>
      </w:r>
      <w:r>
        <w:fldChar w:fldCharType="begin"/>
      </w:r>
      <w:r>
        <w:rPr>
          <w:rStyle w:val="54"/>
          <w:rFonts w:ascii="Times New Roman" w:hAnsi="Times New Roman"/>
          <w:sz w:val="24"/>
          <w:szCs w:val="24"/>
          <w:lang w:eastAsia="pt-BR"/>
        </w:rPr>
        <w:instrText xml:space="preserve"> HYPERLINK "https://www.planalto.gov.br/ccivil_03/leis/l8666cons.htm" \l "art87"</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87, III ou IV, da Lei Federal nº 8.666, de 1993</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 xml:space="preserve">, ou no </w:t>
      </w:r>
      <w:r>
        <w:fldChar w:fldCharType="begin"/>
      </w:r>
      <w:r>
        <w:rPr>
          <w:rStyle w:val="54"/>
          <w:rFonts w:ascii="Times New Roman" w:hAnsi="Times New Roman"/>
          <w:sz w:val="24"/>
          <w:szCs w:val="24"/>
          <w:lang w:eastAsia="pt-BR"/>
        </w:rPr>
        <w:instrText xml:space="preserve"> HYPERLINK "http://www.planalto.gov.br/ccivil_03/leis/2002/l10520.htm" \l "art7"</w:instrText>
      </w:r>
      <w:r>
        <w:rPr>
          <w:rStyle w:val="54"/>
          <w:rFonts w:ascii="Times New Roman" w:hAnsi="Times New Roman"/>
          <w:sz w:val="24"/>
          <w:szCs w:val="24"/>
          <w:lang w:eastAsia="pt-BR"/>
        </w:rPr>
        <w:fldChar w:fldCharType="separate"/>
      </w:r>
      <w:r>
        <w:rPr>
          <w:rStyle w:val="54"/>
          <w:rFonts w:ascii="Times New Roman" w:hAnsi="Times New Roman"/>
          <w:sz w:val="24"/>
          <w:szCs w:val="24"/>
          <w:lang w:eastAsia="pt-BR"/>
        </w:rPr>
        <w:t>art. 7º da Lei Federal nº 10.520, de 2002</w:t>
      </w:r>
      <w:r>
        <w:rPr>
          <w:rStyle w:val="54"/>
          <w:rFonts w:ascii="Times New Roman" w:hAnsi="Times New Roman"/>
          <w:sz w:val="24"/>
          <w:szCs w:val="24"/>
          <w:lang w:eastAsia="pt-BR"/>
        </w:rPr>
        <w:fldChar w:fldCharType="end"/>
      </w:r>
      <w:r>
        <w:rPr>
          <w:rFonts w:ascii="Times New Roman" w:hAnsi="Times New Roman" w:cs="Times New Roman"/>
          <w:sz w:val="24"/>
          <w:szCs w:val="24"/>
          <w:lang w:eastAsia="pt-BR"/>
        </w:rPr>
        <w:t>.</w:t>
      </w:r>
    </w:p>
    <w:p>
      <w:pPr>
        <w:pStyle w:val="60"/>
        <w:keepNext w:val="0"/>
        <w:keepLines w:val="0"/>
        <w:pageBreakBefore w:val="0"/>
        <w:widowControl/>
        <w:numPr>
          <w:ilvl w:val="1"/>
          <w:numId w:val="11"/>
        </w:numPr>
        <w:tabs>
          <w:tab w:val="left" w:pos="1276"/>
          <w:tab w:val="left" w:pos="3001"/>
        </w:tabs>
        <w:kinsoku/>
        <w:wordWrap/>
        <w:overflowPunct/>
        <w:topLinePunct w:val="0"/>
        <w:autoSpaceDE/>
        <w:autoSpaceDN/>
        <w:bidi w:val="0"/>
        <w:adjustRightInd/>
        <w:snapToGrid/>
        <w:spacing w:before="0" w:after="0" w:line="240" w:lineRule="auto"/>
        <w:ind w:left="0" w:firstLine="567"/>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0"/>
        <w:keepNext w:val="0"/>
        <w:keepLines w:val="0"/>
        <w:pageBreakBefore w:val="0"/>
        <w:widowControl/>
        <w:numPr>
          <w:ilvl w:val="1"/>
          <w:numId w:val="11"/>
        </w:numPr>
        <w:tabs>
          <w:tab w:val="left" w:pos="1276"/>
          <w:tab w:val="left" w:pos="3001"/>
        </w:tabs>
        <w:kinsoku/>
        <w:wordWrap/>
        <w:overflowPunct/>
        <w:topLinePunct w:val="0"/>
        <w:autoSpaceDE/>
        <w:autoSpaceDN/>
        <w:bidi w:val="0"/>
        <w:adjustRightInd/>
        <w:snapToGrid/>
        <w:spacing w:before="0" w:after="0" w:line="240" w:lineRule="auto"/>
        <w:ind w:left="0" w:firstLine="567"/>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Havendo cancelamento/revogação do registro, não caberá a aplicação de qualquer espécie de sanção administrativa ao titular do registro.</w:t>
      </w:r>
    </w:p>
    <w:p>
      <w:pPr>
        <w:pStyle w:val="60"/>
        <w:keepNext w:val="0"/>
        <w:keepLines w:val="0"/>
        <w:pageBreakBefore w:val="0"/>
        <w:widowControl/>
        <w:numPr>
          <w:ilvl w:val="1"/>
          <w:numId w:val="11"/>
        </w:numPr>
        <w:tabs>
          <w:tab w:val="left" w:pos="1276"/>
          <w:tab w:val="left" w:pos="3001"/>
        </w:tabs>
        <w:kinsoku/>
        <w:wordWrap/>
        <w:overflowPunct/>
        <w:topLinePunct w:val="0"/>
        <w:autoSpaceDE/>
        <w:autoSpaceDN/>
        <w:bidi w:val="0"/>
        <w:adjustRightInd/>
        <w:snapToGrid/>
        <w:spacing w:before="0" w:after="0" w:line="240" w:lineRule="auto"/>
        <w:ind w:left="0" w:firstLine="567"/>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O cancelamento/revogação do registro na hipótese do fornecedor recusar-se a retirar e assinar a nota de empenho ou instrumento contratual no prazo estabelecido, não poderá ser aceita em prejuízo ao interesse público.</w:t>
      </w:r>
    </w:p>
    <w:p>
      <w:pPr>
        <w:pStyle w:val="60"/>
        <w:keepNext w:val="0"/>
        <w:keepLines w:val="0"/>
        <w:pageBreakBefore w:val="0"/>
        <w:widowControl/>
        <w:numPr>
          <w:ilvl w:val="1"/>
          <w:numId w:val="11"/>
        </w:numPr>
        <w:tabs>
          <w:tab w:val="left" w:pos="1276"/>
          <w:tab w:val="left" w:pos="3001"/>
        </w:tabs>
        <w:kinsoku/>
        <w:wordWrap/>
        <w:overflowPunct/>
        <w:topLinePunct w:val="0"/>
        <w:autoSpaceDE/>
        <w:autoSpaceDN/>
        <w:bidi w:val="0"/>
        <w:adjustRightInd/>
        <w:snapToGrid/>
        <w:spacing w:before="0" w:after="0" w:line="240" w:lineRule="auto"/>
        <w:ind w:left="0" w:firstLine="567"/>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A rescisão do registro de preços será determinada em decisão unilateral e fundamentada do ÓRGÃO GERENCIADOR, garantido o contraditório e a ampla defesa em processo administrativo.</w:t>
      </w:r>
    </w:p>
    <w:p>
      <w:pPr>
        <w:pStyle w:val="60"/>
        <w:keepNext w:val="0"/>
        <w:keepLines w:val="0"/>
        <w:pageBreakBefore w:val="0"/>
        <w:widowControl/>
        <w:numPr>
          <w:ilvl w:val="1"/>
          <w:numId w:val="11"/>
        </w:numPr>
        <w:tabs>
          <w:tab w:val="left" w:pos="1276"/>
          <w:tab w:val="left" w:pos="3001"/>
        </w:tabs>
        <w:kinsoku/>
        <w:wordWrap/>
        <w:overflowPunct/>
        <w:topLinePunct w:val="0"/>
        <w:autoSpaceDE/>
        <w:autoSpaceDN/>
        <w:bidi w:val="0"/>
        <w:adjustRightInd/>
        <w:snapToGrid/>
        <w:spacing w:before="0" w:after="0" w:line="240" w:lineRule="auto"/>
        <w:ind w:left="0" w:firstLine="567"/>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A rescisão do registro de preços poderá ensejar a abertura de procedimento de apuração da responsabilidade e aplicação de sanções administrativas em face do titular do registro.</w:t>
      </w:r>
    </w:p>
    <w:p>
      <w:pPr>
        <w:pStyle w:val="60"/>
        <w:keepNext w:val="0"/>
        <w:keepLines w:val="0"/>
        <w:pageBreakBefore w:val="0"/>
        <w:widowControl/>
        <w:numPr>
          <w:ilvl w:val="0"/>
          <w:numId w:val="11"/>
        </w:numPr>
        <w:tabs>
          <w:tab w:val="left" w:pos="3001"/>
        </w:tabs>
        <w:kinsoku/>
        <w:wordWrap/>
        <w:overflowPunct/>
        <w:topLinePunct w:val="0"/>
        <w:autoSpaceDE/>
        <w:autoSpaceDN/>
        <w:bidi w:val="0"/>
        <w:adjustRightInd/>
        <w:snapToGrid/>
        <w:spacing w:before="0" w:after="0" w:line="240" w:lineRule="auto"/>
        <w:ind w:left="357" w:hanging="357"/>
        <w:contextualSpacing w:val="0"/>
        <w:jc w:val="both"/>
        <w:textAlignment w:val="auto"/>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DISPOSIÇÕES FINAIS</w:t>
      </w:r>
    </w:p>
    <w:p>
      <w:pPr>
        <w:pStyle w:val="60"/>
        <w:keepNext w:val="0"/>
        <w:keepLines w:val="0"/>
        <w:pageBreakBefore w:val="0"/>
        <w:widowControl/>
        <w:numPr>
          <w:ilvl w:val="1"/>
          <w:numId w:val="11"/>
        </w:numPr>
        <w:tabs>
          <w:tab w:val="left" w:pos="1134"/>
          <w:tab w:val="left" w:pos="3001"/>
        </w:tabs>
        <w:kinsoku/>
        <w:wordWrap/>
        <w:overflowPunct/>
        <w:topLinePunct w:val="0"/>
        <w:autoSpaceDE/>
        <w:autoSpaceDN/>
        <w:bidi w:val="0"/>
        <w:adjustRightInd/>
        <w:snapToGrid/>
        <w:spacing w:before="0" w:after="0" w:line="240" w:lineRule="auto"/>
        <w:ind w:left="0" w:firstLine="567"/>
        <w:contextualSpacing w:val="0"/>
        <w:jc w:val="both"/>
        <w:textAlignment w:val="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54"/>
          <w:rFonts w:ascii="Times New Roman" w:hAnsi="Times New Roman"/>
          <w:sz w:val="24"/>
          <w:szCs w:val="24"/>
          <w:lang w:eastAsia="pt-BR"/>
        </w:rPr>
        <w:t>Lei Federal nº 14.133, de 2021</w:t>
      </w:r>
      <w:r>
        <w:rPr>
          <w:rStyle w:val="54"/>
          <w:rFonts w:ascii="Times New Roman" w:hAnsi="Times New Roman"/>
          <w:sz w:val="24"/>
          <w:szCs w:val="24"/>
          <w:lang w:eastAsia="pt-BR"/>
        </w:rPr>
        <w:fldChar w:fldCharType="end"/>
      </w:r>
      <w:r>
        <w:rPr>
          <w:rStyle w:val="54"/>
          <w:rFonts w:ascii="Times New Roman" w:hAnsi="Times New Roman" w:cs="Times New Roman"/>
          <w:sz w:val="24"/>
          <w:szCs w:val="24"/>
          <w:lang w:eastAsia="pt-BR"/>
        </w:rPr>
        <w:t>.</w:t>
      </w:r>
    </w:p>
    <w:p>
      <w:pPr>
        <w:keepNext w:val="0"/>
        <w:keepLines w:val="0"/>
        <w:pageBreakBefore w:val="0"/>
        <w:widowControl/>
        <w:tabs>
          <w:tab w:val="left" w:pos="1134"/>
          <w:tab w:val="left" w:pos="3001"/>
        </w:tabs>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4"/>
          <w:szCs w:val="24"/>
          <w:lang w:eastAsia="pt-BR"/>
        </w:rPr>
      </w:pPr>
    </w:p>
    <w:p>
      <w:pPr>
        <w:keepNext w:val="0"/>
        <w:keepLines w:val="0"/>
        <w:pageBreakBefore w:val="0"/>
        <w:widowControl/>
        <w:tabs>
          <w:tab w:val="left" w:pos="1134"/>
          <w:tab w:val="left" w:pos="3001"/>
        </w:tabs>
        <w:kinsoku/>
        <w:wordWrap/>
        <w:overflowPunct/>
        <w:topLinePunct w:val="0"/>
        <w:autoSpaceDE/>
        <w:autoSpaceDN/>
        <w:bidi w:val="0"/>
        <w:adjustRightInd/>
        <w:snapToGrid/>
        <w:spacing w:before="0" w:after="0" w:line="240" w:lineRule="auto"/>
        <w:ind w:firstLine="567"/>
        <w:jc w:val="right"/>
        <w:textAlignment w:val="auto"/>
      </w:pPr>
      <w:r>
        <w:rPr>
          <w:rFonts w:ascii="Times New Roman" w:hAnsi="Times New Roman" w:cs="Times New Roman"/>
          <w:sz w:val="24"/>
          <w:szCs w:val="24"/>
          <w:lang w:eastAsia="pt-BR"/>
        </w:rPr>
        <w:t xml:space="preserve">Primavera do Leste - </w:t>
      </w:r>
      <w:r>
        <w:rPr>
          <w:rFonts w:ascii="Times New Roman" w:hAnsi="Times New Roman" w:cs="Times New Roman"/>
          <w:sz w:val="24"/>
          <w:szCs w:val="24"/>
          <w:shd w:val="clear" w:fill="auto"/>
          <w:lang w:eastAsia="pt-BR"/>
        </w:rPr>
        <w:t>MT, em ______, de  __________de ______.</w:t>
      </w:r>
    </w:p>
    <w:p>
      <w:pPr>
        <w:keepNext w:val="0"/>
        <w:keepLines w:val="0"/>
        <w:pageBreakBefore w:val="0"/>
        <w:widowControl/>
        <w:tabs>
          <w:tab w:val="left" w:pos="3001"/>
        </w:tabs>
        <w:kinsoku/>
        <w:wordWrap/>
        <w:overflowPunct/>
        <w:topLinePunct w:val="0"/>
        <w:autoSpaceDE/>
        <w:autoSpaceDN/>
        <w:bidi w:val="0"/>
        <w:adjustRightInd/>
        <w:snapToGrid/>
        <w:spacing w:before="0" w:after="0" w:line="240" w:lineRule="auto"/>
        <w:textAlignment w:val="auto"/>
        <w:rPr>
          <w:rFonts w:asciiTheme="minorHAnsi" w:hAnsiTheme="minorHAnsi" w:eastAsiaTheme="minorHAnsi" w:cstheme="minorBidi"/>
          <w:highlight w:val="none"/>
          <w:shd w:val="clear" w:fill="auto"/>
          <w:lang w:eastAsia="pt-BR"/>
        </w:rPr>
      </w:pPr>
    </w:p>
    <w:p>
      <w:pPr>
        <w:keepNext w:val="0"/>
        <w:keepLines w:val="0"/>
        <w:pageBreakBefore w:val="0"/>
        <w:widowControl/>
        <w:tabs>
          <w:tab w:val="left" w:pos="3001"/>
        </w:tabs>
        <w:kinsoku/>
        <w:wordWrap/>
        <w:overflowPunct/>
        <w:topLinePunct w:val="0"/>
        <w:autoSpaceDE/>
        <w:autoSpaceDN/>
        <w:bidi w:val="0"/>
        <w:adjustRightInd/>
        <w:snapToGrid/>
        <w:spacing w:before="0" w:after="0" w:line="240" w:lineRule="auto"/>
        <w:textAlignment w:val="auto"/>
        <w:rPr>
          <w:lang w:eastAsia="pt-BR"/>
        </w:rPr>
      </w:pPr>
    </w:p>
    <w:tbl>
      <w:tblPr>
        <w:tblStyle w:val="4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keepNext w:val="0"/>
              <w:keepLines w:val="0"/>
              <w:pageBreakBefore w:val="0"/>
              <w:widowControl/>
              <w:tabs>
                <w:tab w:val="left" w:pos="3001"/>
              </w:tabs>
              <w:suppressAutoHyphens/>
              <w:kinsoku/>
              <w:wordWrap/>
              <w:overflowPunct/>
              <w:topLinePunct w:val="0"/>
              <w:autoSpaceDE/>
              <w:autoSpaceDN/>
              <w:bidi w:val="0"/>
              <w:adjustRightInd/>
              <w:snapToGrid/>
              <w:spacing w:before="0" w:after="0" w:line="240" w:lineRule="auto"/>
              <w:jc w:val="left"/>
              <w:textAlignment w:val="auto"/>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Assinatura de Representante da Câmara</w:t>
            </w:r>
          </w:p>
        </w:tc>
        <w:tc>
          <w:tcPr>
            <w:tcW w:w="4465" w:type="dxa"/>
            <w:tcBorders>
              <w:top w:val="nil"/>
              <w:left w:val="nil"/>
              <w:bottom w:val="nil"/>
              <w:right w:val="nil"/>
            </w:tcBorders>
          </w:tcPr>
          <w:p>
            <w:pPr>
              <w:keepNext w:val="0"/>
              <w:keepLines w:val="0"/>
              <w:pageBreakBefore w:val="0"/>
              <w:widowControl/>
              <w:tabs>
                <w:tab w:val="left" w:pos="3001"/>
              </w:tabs>
              <w:suppressAutoHyphens/>
              <w:kinsoku/>
              <w:wordWrap/>
              <w:overflowPunct/>
              <w:topLinePunct w:val="0"/>
              <w:autoSpaceDE/>
              <w:autoSpaceDN/>
              <w:bidi w:val="0"/>
              <w:adjustRightInd/>
              <w:snapToGrid/>
              <w:spacing w:before="0" w:after="0" w:line="240" w:lineRule="auto"/>
              <w:jc w:val="left"/>
              <w:textAlignment w:val="auto"/>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Assinatura de Representante do Fornecedor</w:t>
            </w:r>
          </w:p>
        </w:tc>
      </w:tr>
    </w:tbl>
    <w:p>
      <w:pPr>
        <w:keepNext w:val="0"/>
        <w:keepLines w:val="0"/>
        <w:pageBreakBefore w:val="0"/>
        <w:widowControl/>
        <w:tabs>
          <w:tab w:val="left" w:pos="3001"/>
        </w:tabs>
        <w:kinsoku/>
        <w:wordWrap/>
        <w:overflowPunct/>
        <w:topLinePunct w:val="0"/>
        <w:autoSpaceDE/>
        <w:autoSpaceDN/>
        <w:bidi w:val="0"/>
        <w:adjustRightInd/>
        <w:snapToGrid/>
        <w:spacing w:before="0" w:after="0" w:line="240" w:lineRule="auto"/>
        <w:textAlignment w:val="auto"/>
        <w:rPr>
          <w:lang w:eastAsia="pt-BR"/>
        </w:rPr>
      </w:pPr>
    </w:p>
    <w:p>
      <w:pPr>
        <w:rPr>
          <w:lang w:eastAsia="pt-BR"/>
        </w:rPr>
      </w:pPr>
      <w:r>
        <w:br w:type="page"/>
      </w:r>
    </w:p>
    <w:p>
      <w:pPr>
        <w:tabs>
          <w:tab w:val="left" w:pos="3001"/>
        </w:tabs>
        <w:spacing w:before="0" w:after="120" w:line="240" w:lineRule="auto"/>
        <w:jc w:val="center"/>
        <w:rPr>
          <w:rFonts w:ascii="Times New Roman" w:hAnsi="Times New Roman" w:cs="Times New Roman"/>
          <w:b/>
          <w:bCs/>
          <w:sz w:val="24"/>
          <w:szCs w:val="24"/>
          <w:u w:val="single"/>
          <w:lang w:eastAsia="pt-BR"/>
        </w:rPr>
      </w:pPr>
      <w:r>
        <w:rPr>
          <w:rFonts w:ascii="Times New Roman" w:hAnsi="Times New Roman" w:cs="Times New Roman"/>
          <w:b/>
          <w:bCs/>
          <w:sz w:val="24"/>
          <w:szCs w:val="24"/>
          <w:u w:val="single"/>
          <w:lang w:eastAsia="pt-BR"/>
        </w:rPr>
        <w:t>ANEXO A - CADASTRO DE RESERVA</w:t>
      </w:r>
    </w:p>
    <w:p>
      <w:pPr>
        <w:tabs>
          <w:tab w:val="left" w:pos="3001"/>
        </w:tabs>
        <w:spacing w:before="120" w:after="120" w:line="240" w:lineRule="auto"/>
        <w:rPr>
          <w:rFonts w:ascii="Times New Roman" w:hAnsi="Times New Roman" w:cs="Times New Roman"/>
          <w:b/>
          <w:bCs/>
          <w:sz w:val="24"/>
          <w:szCs w:val="24"/>
          <w:lang w:eastAsia="pt-BR"/>
        </w:rPr>
      </w:pPr>
      <w:r>
        <w:rPr>
          <w:rFonts w:ascii="Times New Roman" w:hAnsi="Times New Roman" w:cs="Times New Roman"/>
          <w:b/>
          <w:bCs/>
          <w:sz w:val="24"/>
          <w:szCs w:val="24"/>
          <w:u w:val="single"/>
          <w:lang w:eastAsia="pt-BR"/>
        </w:rPr>
        <w:t>2ª Classificada</w:t>
      </w:r>
      <w:r>
        <w:rPr>
          <w:rFonts w:ascii="Times New Roman" w:hAnsi="Times New Roman" w:cs="Times New Roman"/>
          <w:b/>
          <w:bCs/>
          <w:sz w:val="24"/>
          <w:szCs w:val="24"/>
          <w:lang w:eastAsia="pt-BR"/>
        </w:rPr>
        <w:t>:</w:t>
      </w: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 xml:space="preserve">Empresa: </w:t>
            </w:r>
            <w:r>
              <w:rPr>
                <w:rFonts w:ascii="Times New Roman" w:hAnsi="Times New Roman" w:eastAsia="Calibri" w:cs="Times New Roman"/>
                <w:kern w:val="0"/>
                <w:sz w:val="24"/>
                <w:szCs w:val="24"/>
                <w:highlight w:val="yellow"/>
                <w:lang w:val="pt-BR" w:eastAsia="pt-BR" w:bidi="ar-SA"/>
              </w:rPr>
              <w:t>XXX</w:t>
            </w:r>
            <w:r>
              <w:rPr>
                <w:rFonts w:ascii="Times New Roman" w:hAnsi="Times New Roman" w:eastAsia="Calibri" w:cs="Times New Roman"/>
                <w:kern w:val="0"/>
                <w:sz w:val="24"/>
                <w:szCs w:val="24"/>
                <w:lang w:val="pt-BR" w:eastAsia="pt-BR" w:bidi="ar-SA"/>
              </w:rPr>
              <w:t xml:space="preserve"> - CNPJ: </w:t>
            </w:r>
            <w:r>
              <w:rPr>
                <w:rFonts w:ascii="Times New Roman" w:hAnsi="Times New Roman" w:eastAsia="Calibri" w:cs="Times New Roman"/>
                <w:kern w:val="0"/>
                <w:sz w:val="24"/>
                <w:szCs w:val="24"/>
                <w:highlight w:val="yellow"/>
                <w:lang w:val="pt-BR" w:eastAsia="pt-BR" w:bidi="ar-SA"/>
              </w:rPr>
              <w:t>XXX</w:t>
            </w:r>
          </w:p>
          <w:p>
            <w:pPr>
              <w:widowControl/>
              <w:tabs>
                <w:tab w:val="left" w:pos="3001"/>
              </w:tabs>
              <w:suppressAutoHyphens/>
              <w:spacing w:before="0" w:after="0" w:line="240" w:lineRule="auto"/>
              <w:jc w:val="left"/>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 xml:space="preserve">Representante Legal: </w:t>
            </w:r>
            <w:r>
              <w:rPr>
                <w:rFonts w:ascii="Times New Roman" w:hAnsi="Times New Roman" w:eastAsia="Calibri" w:cs="Times New Roman"/>
                <w:kern w:val="0"/>
                <w:sz w:val="24"/>
                <w:szCs w:val="24"/>
                <w:highlight w:val="yellow"/>
                <w:lang w:val="pt-BR" w:eastAsia="pt-BR" w:bidi="ar-SA"/>
              </w:rPr>
              <w:t>XXX</w:t>
            </w:r>
          </w:p>
          <w:p>
            <w:pPr>
              <w:widowControl/>
              <w:tabs>
                <w:tab w:val="left" w:pos="3001"/>
              </w:tabs>
              <w:suppressAutoHyphens/>
              <w:spacing w:before="0" w:after="0" w:line="240" w:lineRule="auto"/>
              <w:jc w:val="left"/>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 xml:space="preserve">Telefone: </w:t>
            </w:r>
            <w:r>
              <w:rPr>
                <w:rFonts w:ascii="Times New Roman" w:hAnsi="Times New Roman" w:eastAsia="Calibri" w:cs="Times New Roman"/>
                <w:kern w:val="0"/>
                <w:sz w:val="24"/>
                <w:szCs w:val="24"/>
                <w:highlight w:val="yellow"/>
                <w:lang w:val="pt-BR" w:eastAsia="pt-BR" w:bidi="ar-SA"/>
              </w:rPr>
              <w:t>(XX) XXXX-XXXX</w:t>
            </w:r>
            <w:r>
              <w:rPr>
                <w:rFonts w:ascii="Times New Roman" w:hAnsi="Times New Roman" w:eastAsia="Calibri" w:cs="Times New Roman"/>
                <w:kern w:val="0"/>
                <w:sz w:val="24"/>
                <w:szCs w:val="24"/>
                <w:lang w:val="pt-BR" w:eastAsia="pt-BR" w:bidi="ar-SA"/>
              </w:rPr>
              <w:t xml:space="preserve"> - E-mail: </w:t>
            </w:r>
            <w:r>
              <w:rPr>
                <w:rFonts w:ascii="Times New Roman" w:hAnsi="Times New Roman" w:eastAsia="Calibri" w:cs="Times New Roman"/>
                <w:kern w:val="0"/>
                <w:sz w:val="24"/>
                <w:szCs w:val="24"/>
                <w:highlight w:val="yellow"/>
                <w:lang w:val="pt-BR" w:eastAsia="pt-BR" w:bidi="ar-SA"/>
              </w:rPr>
              <w:t>XXX</w:t>
            </w:r>
          </w:p>
          <w:p>
            <w:pPr>
              <w:widowControl/>
              <w:tabs>
                <w:tab w:val="left" w:pos="3001"/>
              </w:tabs>
              <w:suppressAutoHyphens/>
              <w:spacing w:before="0" w:after="0" w:line="240" w:lineRule="auto"/>
              <w:jc w:val="left"/>
              <w:rPr>
                <w:rFonts w:ascii="Times New Roman" w:hAnsi="Times New Roman" w:cs="Times New Roman"/>
                <w:b/>
                <w:bCs/>
                <w:sz w:val="20"/>
                <w:szCs w:val="20"/>
                <w:lang w:eastAsia="pt-BR"/>
              </w:rPr>
            </w:pPr>
            <w:r>
              <w:rPr>
                <w:rFonts w:ascii="Times New Roman" w:hAnsi="Times New Roman" w:eastAsia="Calibri" w:cs="Times New Roman"/>
                <w:kern w:val="0"/>
                <w:sz w:val="24"/>
                <w:szCs w:val="24"/>
                <w:lang w:val="pt-BR" w:eastAsia="pt-BR" w:bidi="ar-SA"/>
              </w:rPr>
              <w:t xml:space="preserve">Endereço: </w:t>
            </w:r>
            <w:r>
              <w:rPr>
                <w:rFonts w:ascii="Times New Roman" w:hAnsi="Times New Roman" w:eastAsia="Calibri" w:cs="Times New Roman"/>
                <w:kern w:val="0"/>
                <w:sz w:val="24"/>
                <w:szCs w:val="24"/>
                <w:highlight w:val="yellow"/>
                <w:lang w:val="pt-BR" w:eastAsia="pt-BR" w:bidi="ar-SA"/>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Item</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Qtde</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Qtde</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Valor</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r>
    </w:tbl>
    <w:p>
      <w:pPr>
        <w:tabs>
          <w:tab w:val="left" w:pos="3001"/>
        </w:tabs>
        <w:rPr>
          <w:rFonts w:ascii="Times New Roman" w:hAnsi="Times New Roman" w:cs="Times New Roman"/>
          <w:sz w:val="24"/>
          <w:szCs w:val="24"/>
          <w:lang w:eastAsia="pt-BR"/>
        </w:rPr>
      </w:pPr>
    </w:p>
    <w:p>
      <w:pPr>
        <w:tabs>
          <w:tab w:val="left" w:pos="3001"/>
        </w:tabs>
        <w:spacing w:before="120" w:after="120" w:line="240" w:lineRule="auto"/>
        <w:rPr>
          <w:rFonts w:ascii="Times New Roman" w:hAnsi="Times New Roman" w:cs="Times New Roman"/>
          <w:b/>
          <w:bCs/>
          <w:sz w:val="24"/>
          <w:szCs w:val="24"/>
          <w:lang w:eastAsia="pt-BR"/>
        </w:rPr>
      </w:pPr>
      <w:r>
        <w:rPr>
          <w:rFonts w:ascii="Times New Roman" w:hAnsi="Times New Roman" w:cs="Times New Roman"/>
          <w:b/>
          <w:bCs/>
          <w:sz w:val="24"/>
          <w:szCs w:val="24"/>
          <w:u w:val="single"/>
          <w:lang w:eastAsia="pt-BR"/>
        </w:rPr>
        <w:t>3ª Classificada</w:t>
      </w:r>
      <w:r>
        <w:rPr>
          <w:rFonts w:ascii="Times New Roman" w:hAnsi="Times New Roman" w:cs="Times New Roman"/>
          <w:b/>
          <w:bCs/>
          <w:sz w:val="24"/>
          <w:szCs w:val="24"/>
          <w:lang w:eastAsia="pt-BR"/>
        </w:rPr>
        <w:t>:</w:t>
      </w: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 xml:space="preserve">Empresa: </w:t>
            </w:r>
            <w:r>
              <w:rPr>
                <w:rFonts w:ascii="Times New Roman" w:hAnsi="Times New Roman" w:eastAsia="Calibri" w:cs="Times New Roman"/>
                <w:kern w:val="0"/>
                <w:sz w:val="24"/>
                <w:szCs w:val="24"/>
                <w:highlight w:val="yellow"/>
                <w:lang w:val="pt-BR" w:eastAsia="pt-BR" w:bidi="ar-SA"/>
              </w:rPr>
              <w:t>XXX</w:t>
            </w:r>
            <w:r>
              <w:rPr>
                <w:rFonts w:ascii="Times New Roman" w:hAnsi="Times New Roman" w:eastAsia="Calibri" w:cs="Times New Roman"/>
                <w:kern w:val="0"/>
                <w:sz w:val="24"/>
                <w:szCs w:val="24"/>
                <w:lang w:val="pt-BR" w:eastAsia="pt-BR" w:bidi="ar-SA"/>
              </w:rPr>
              <w:t xml:space="preserve"> - CNPJ: </w:t>
            </w:r>
            <w:r>
              <w:rPr>
                <w:rFonts w:ascii="Times New Roman" w:hAnsi="Times New Roman" w:eastAsia="Calibri" w:cs="Times New Roman"/>
                <w:kern w:val="0"/>
                <w:sz w:val="24"/>
                <w:szCs w:val="24"/>
                <w:highlight w:val="yellow"/>
                <w:lang w:val="pt-BR" w:eastAsia="pt-BR" w:bidi="ar-SA"/>
              </w:rPr>
              <w:t>XXX</w:t>
            </w:r>
          </w:p>
          <w:p>
            <w:pPr>
              <w:widowControl/>
              <w:tabs>
                <w:tab w:val="left" w:pos="3001"/>
              </w:tabs>
              <w:suppressAutoHyphens/>
              <w:spacing w:before="0" w:after="0" w:line="240" w:lineRule="auto"/>
              <w:jc w:val="left"/>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 xml:space="preserve">Representante Legal: </w:t>
            </w:r>
            <w:r>
              <w:rPr>
                <w:rFonts w:ascii="Times New Roman" w:hAnsi="Times New Roman" w:eastAsia="Calibri" w:cs="Times New Roman"/>
                <w:kern w:val="0"/>
                <w:sz w:val="24"/>
                <w:szCs w:val="24"/>
                <w:highlight w:val="yellow"/>
                <w:lang w:val="pt-BR" w:eastAsia="pt-BR" w:bidi="ar-SA"/>
              </w:rPr>
              <w:t>XXX</w:t>
            </w:r>
          </w:p>
          <w:p>
            <w:pPr>
              <w:widowControl/>
              <w:tabs>
                <w:tab w:val="left" w:pos="3001"/>
              </w:tabs>
              <w:suppressAutoHyphens/>
              <w:spacing w:before="0" w:after="0" w:line="240" w:lineRule="auto"/>
              <w:jc w:val="left"/>
              <w:rPr>
                <w:rFonts w:ascii="Times New Roman" w:hAnsi="Times New Roman" w:cs="Times New Roman"/>
                <w:sz w:val="24"/>
                <w:szCs w:val="24"/>
                <w:lang w:eastAsia="pt-BR"/>
              </w:rPr>
            </w:pPr>
            <w:r>
              <w:rPr>
                <w:rFonts w:ascii="Times New Roman" w:hAnsi="Times New Roman" w:eastAsia="Calibri" w:cs="Times New Roman"/>
                <w:kern w:val="0"/>
                <w:sz w:val="24"/>
                <w:szCs w:val="24"/>
                <w:lang w:val="pt-BR" w:eastAsia="pt-BR" w:bidi="ar-SA"/>
              </w:rPr>
              <w:t xml:space="preserve">Telefone: </w:t>
            </w:r>
            <w:r>
              <w:rPr>
                <w:rFonts w:ascii="Times New Roman" w:hAnsi="Times New Roman" w:eastAsia="Calibri" w:cs="Times New Roman"/>
                <w:kern w:val="0"/>
                <w:sz w:val="24"/>
                <w:szCs w:val="24"/>
                <w:highlight w:val="yellow"/>
                <w:lang w:val="pt-BR" w:eastAsia="pt-BR" w:bidi="ar-SA"/>
              </w:rPr>
              <w:t>(XX) XXXX-XXXX</w:t>
            </w:r>
            <w:r>
              <w:rPr>
                <w:rFonts w:ascii="Times New Roman" w:hAnsi="Times New Roman" w:eastAsia="Calibri" w:cs="Times New Roman"/>
                <w:kern w:val="0"/>
                <w:sz w:val="24"/>
                <w:szCs w:val="24"/>
                <w:lang w:val="pt-BR" w:eastAsia="pt-BR" w:bidi="ar-SA"/>
              </w:rPr>
              <w:t xml:space="preserve"> - E-mail: </w:t>
            </w:r>
            <w:r>
              <w:rPr>
                <w:rFonts w:ascii="Times New Roman" w:hAnsi="Times New Roman" w:eastAsia="Calibri" w:cs="Times New Roman"/>
                <w:kern w:val="0"/>
                <w:sz w:val="24"/>
                <w:szCs w:val="24"/>
                <w:highlight w:val="yellow"/>
                <w:lang w:val="pt-BR" w:eastAsia="pt-BR" w:bidi="ar-SA"/>
              </w:rPr>
              <w:t>XXX</w:t>
            </w:r>
          </w:p>
          <w:p>
            <w:pPr>
              <w:widowControl/>
              <w:tabs>
                <w:tab w:val="left" w:pos="3001"/>
              </w:tabs>
              <w:suppressAutoHyphens/>
              <w:spacing w:before="0" w:after="0" w:line="240" w:lineRule="auto"/>
              <w:jc w:val="left"/>
              <w:rPr>
                <w:rFonts w:ascii="Times New Roman" w:hAnsi="Times New Roman" w:cs="Times New Roman"/>
                <w:b/>
                <w:bCs/>
                <w:sz w:val="20"/>
                <w:szCs w:val="20"/>
                <w:lang w:eastAsia="pt-BR"/>
              </w:rPr>
            </w:pPr>
            <w:r>
              <w:rPr>
                <w:rFonts w:ascii="Times New Roman" w:hAnsi="Times New Roman" w:eastAsia="Calibri" w:cs="Times New Roman"/>
                <w:kern w:val="0"/>
                <w:sz w:val="24"/>
                <w:szCs w:val="24"/>
                <w:lang w:val="pt-BR" w:eastAsia="pt-BR" w:bidi="ar-SA"/>
              </w:rPr>
              <w:t xml:space="preserve">Endereço: </w:t>
            </w:r>
            <w:r>
              <w:rPr>
                <w:rFonts w:ascii="Times New Roman" w:hAnsi="Times New Roman" w:eastAsia="Calibri" w:cs="Times New Roman"/>
                <w:kern w:val="0"/>
                <w:sz w:val="24"/>
                <w:szCs w:val="24"/>
                <w:highlight w:val="yellow"/>
                <w:lang w:val="pt-BR" w:eastAsia="pt-BR" w:bidi="ar-SA"/>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Item</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Qtde</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Qtde</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cs="Times New Roman"/>
                <w:b/>
                <w:bCs/>
                <w:sz w:val="20"/>
                <w:szCs w:val="20"/>
                <w:lang w:eastAsia="pt-BR"/>
              </w:rPr>
            </w:pPr>
            <w:r>
              <w:rPr>
                <w:rFonts w:ascii="Times New Roman" w:hAnsi="Times New Roman" w:eastAsia="Calibri" w:cs="Times New Roman"/>
                <w:b/>
                <w:bCs/>
                <w:kern w:val="0"/>
                <w:sz w:val="20"/>
                <w:szCs w:val="20"/>
                <w:lang w:val="pt-BR" w:eastAsia="pt-BR" w:bidi="ar-SA"/>
              </w:rPr>
              <w:t>Valor</w:t>
            </w:r>
            <w:r>
              <w:rPr>
                <w:rFonts w:ascii="Times New Roman" w:hAnsi="Times New Roman" w:eastAsia="Calibri" w:cs="Times New Roman"/>
                <w:b/>
                <w:bCs/>
                <w:kern w:val="0"/>
                <w:sz w:val="20"/>
                <w:szCs w:val="20"/>
                <w:lang w:val="pt-BR" w:eastAsia="pt-BR" w:bidi="ar-SA"/>
              </w:rPr>
              <w:br w:type="textWrapping"/>
            </w:r>
            <w:r>
              <w:rPr>
                <w:rFonts w:ascii="Times New Roman" w:hAnsi="Times New Roman" w:eastAsia="Calibri" w:cs="Times New Roman"/>
                <w:b/>
                <w:bCs/>
                <w:kern w:val="0"/>
                <w:sz w:val="20"/>
                <w:szCs w:val="20"/>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0"/>
                <w:szCs w:val="20"/>
                <w:lang w:eastAsia="pt-BR"/>
              </w:rPr>
            </w:pPr>
          </w:p>
        </w:tc>
      </w:tr>
    </w:tbl>
    <w:p>
      <w:pPr>
        <w:tabs>
          <w:tab w:val="left" w:pos="3001"/>
        </w:tabs>
        <w:rPr>
          <w:rFonts w:ascii="Times New Roman" w:hAnsi="Times New Roman" w:cs="Times New Roman"/>
          <w:sz w:val="24"/>
          <w:szCs w:val="24"/>
          <w:lang w:eastAsia="pt-BR"/>
        </w:rPr>
      </w:pPr>
    </w:p>
    <w:p>
      <w:pPr>
        <w:rPr>
          <w:rFonts w:ascii="Times New Roman" w:hAnsi="Times New Roman" w:cs="Times New Roman"/>
          <w:sz w:val="24"/>
          <w:szCs w:val="24"/>
          <w:lang w:eastAsia="pt-BR"/>
        </w:rPr>
      </w:pPr>
      <w:r>
        <w:br w:type="page"/>
      </w:r>
    </w:p>
    <w:p>
      <w:pPr>
        <w:pStyle w:val="2"/>
        <w:numPr>
          <w:ilvl w:val="0"/>
          <w:numId w:val="0"/>
        </w:numPr>
        <w:spacing w:before="0" w:after="120"/>
        <w:ind w:left="0" w:firstLine="0"/>
        <w:jc w:val="center"/>
      </w:pPr>
      <w:bookmarkStart w:id="73" w:name="_Toc149517470"/>
      <w:r>
        <w:t>ANEXO V – MINUTA DO INSTRUMENTO DE CONTRATO</w:t>
      </w:r>
      <w:bookmarkEnd w:id="73"/>
    </w:p>
    <w:p>
      <w:pPr>
        <w:pBdr>
          <w:top w:val="single" w:color="000000" w:sz="4" w:space="1"/>
          <w:left w:val="single" w:color="000000" w:sz="4" w:space="4"/>
          <w:bottom w:val="single" w:color="000000" w:sz="4" w:space="1"/>
          <w:right w:val="single" w:color="000000" w:sz="4" w:space="4"/>
        </w:pBdr>
        <w:shd w:val="clear" w:color="auto" w:fill="BEBEBE" w:themeFill="background1" w:themeFillShade="BF"/>
        <w:spacing w:before="36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MINUTA DO CONTRATO Nº _____ / 2024</w:t>
      </w:r>
    </w:p>
    <w:p>
      <w:pPr>
        <w:pStyle w:val="124"/>
        <w:spacing w:before="600" w:after="600" w:line="240" w:lineRule="auto"/>
        <w:ind w:left="4253" w:right="0"/>
        <w:rPr>
          <w:rFonts w:ascii="Times New Roman" w:hAnsi="Times New Roman" w:cs="Times New Roman"/>
          <w:bCs w:val="0"/>
          <w:sz w:val="24"/>
          <w:szCs w:val="24"/>
        </w:rPr>
      </w:pPr>
      <w:r>
        <w:rPr>
          <w:rFonts w:ascii="Times New Roman" w:hAnsi="Times New Roman" w:cs="Times New Roman"/>
          <w:bCs w:val="0"/>
          <w:sz w:val="24"/>
          <w:szCs w:val="24"/>
        </w:rPr>
        <w:t xml:space="preserve">MINUTA DO CONTRATO ADMINISTRATIVO Nº ________/2024, de serviços de  </w:t>
      </w:r>
      <w:r>
        <w:rPr>
          <w:rFonts w:ascii="Times New Roman" w:hAnsi="Times New Roman" w:cs="Times New Roman"/>
          <w:color w:val="000000"/>
          <w:sz w:val="24"/>
          <w:szCs w:val="24"/>
        </w:rPr>
        <w:t>(Processo Administrativo n° 009/2024</w:t>
      </w:r>
      <w:r>
        <w:rPr>
          <w:rFonts w:ascii="Times New Roman" w:hAnsi="Times New Roman" w:cs="Times New Roman"/>
          <w:sz w:val="24"/>
          <w:szCs w:val="24"/>
        </w:rPr>
        <w:t>)</w:t>
      </w:r>
      <w:r>
        <w:rPr>
          <w:rFonts w:ascii="Times New Roman" w:hAnsi="Times New Roman" w:cs="Times New Roman"/>
          <w:bCs w:val="0"/>
          <w:sz w:val="24"/>
          <w:szCs w:val="24"/>
        </w:rPr>
        <w:t>.</w:t>
      </w:r>
    </w:p>
    <w:p>
      <w:pPr>
        <w:spacing w:before="120" w:after="120"/>
        <w:ind w:firstLine="1134"/>
        <w:jc w:val="both"/>
        <w:rPr>
          <w:rFonts w:ascii="Times New Roman" w:hAnsi="Times New Roman" w:eastAsia="Arial" w:cs="Times New Roman"/>
          <w:sz w:val="24"/>
          <w:szCs w:val="24"/>
        </w:rPr>
      </w:pPr>
      <w:r>
        <w:rPr>
          <w:rFonts w:ascii="Times New Roman" w:hAnsi="Times New Roman" w:eastAsia="Arial" w:cs="Times New Roman"/>
          <w:b/>
          <w:bCs/>
          <w:sz w:val="24"/>
          <w:szCs w:val="24"/>
          <w:shd w:val="clear" w:fill="auto"/>
          <w:lang w:eastAsia="pt-BR"/>
        </w:rPr>
        <w:t>O MUNICÍPIO DE PRIMAVERA DO LESTE - MT</w:t>
      </w:r>
      <w:r>
        <w:rPr>
          <w:rFonts w:ascii="Times New Roman" w:hAnsi="Times New Roman" w:eastAsia="Arial" w:cs="Times New Roman"/>
          <w:b w:val="0"/>
          <w:bCs w:val="0"/>
          <w:sz w:val="24"/>
          <w:szCs w:val="24"/>
          <w:shd w:val="clear" w:fill="auto"/>
          <w:lang w:eastAsia="pt-BR"/>
        </w:rPr>
        <w:t xml:space="preserve">, por intermédio da </w:t>
      </w:r>
      <w:r>
        <w:rPr>
          <w:rFonts w:ascii="Times New Roman" w:hAnsi="Times New Roman" w:eastAsia="Arial" w:cs="Times New Roman"/>
          <w:b/>
          <w:bCs/>
          <w:sz w:val="24"/>
          <w:szCs w:val="24"/>
          <w:shd w:val="clear" w:fill="auto"/>
          <w:lang w:eastAsia="pt-BR"/>
        </w:rPr>
        <w:t>CÂMARA MUNICIPAL</w:t>
      </w:r>
      <w:r>
        <w:rPr>
          <w:rFonts w:ascii="Times New Roman" w:hAnsi="Times New Roman" w:eastAsia="Arial" w:cs="Arial"/>
          <w:sz w:val="24"/>
          <w:szCs w:val="24"/>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4"/>
          <w:szCs w:val="24"/>
          <w:shd w:val="clear" w:fill="auto"/>
          <w:lang w:eastAsia="en-US"/>
        </w:rPr>
        <w:t>Valdecir Alventino da Silva</w:t>
      </w:r>
      <w:r>
        <w:rPr>
          <w:rFonts w:ascii="Times New Roman" w:hAnsi="Times New Roman" w:eastAsia="Arial" w:cs="Times New Roman"/>
          <w:sz w:val="24"/>
          <w:szCs w:val="24"/>
          <w:shd w:val="clear" w:fill="auto"/>
        </w:rPr>
        <w:t xml:space="preserve">,  </w:t>
      </w:r>
      <w:r>
        <w:rPr>
          <w:rFonts w:ascii="Times New Roman" w:hAnsi="Times New Roman" w:eastAsia="Arial" w:cs="Times New Roman"/>
          <w:sz w:val="24"/>
          <w:szCs w:val="24"/>
        </w:rPr>
        <w:t xml:space="preserve">doravante denominado </w:t>
      </w:r>
      <w:r>
        <w:rPr>
          <w:rFonts w:ascii="Times New Roman" w:hAnsi="Times New Roman" w:eastAsia="Arial" w:cs="Times New Roman"/>
          <w:b/>
          <w:bCs/>
          <w:sz w:val="24"/>
          <w:szCs w:val="24"/>
        </w:rPr>
        <w:t>CONTRATANTE</w:t>
      </w:r>
      <w:r>
        <w:rPr>
          <w:rFonts w:ascii="Times New Roman" w:hAnsi="Times New Roman" w:eastAsia="Arial" w:cs="Times New Roman"/>
          <w:sz w:val="24"/>
          <w:szCs w:val="24"/>
        </w:rPr>
        <w:t xml:space="preserve">, e a empresa </w:t>
      </w:r>
      <w:r>
        <w:rPr>
          <w:rFonts w:ascii="Times New Roman" w:hAnsi="Times New Roman" w:eastAsia="Arial" w:cs="Times New Roman"/>
          <w:b/>
          <w:bCs/>
          <w:sz w:val="24"/>
          <w:szCs w:val="24"/>
        </w:rPr>
        <w:t>____________________</w:t>
      </w:r>
      <w:r>
        <w:rPr>
          <w:rFonts w:ascii="Times New Roman" w:hAnsi="Times New Roman" w:eastAsia="Arial" w:cs="Times New Roman"/>
          <w:sz w:val="24"/>
          <w:szCs w:val="24"/>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4"/>
          <w:szCs w:val="24"/>
        </w:rPr>
        <w:t>CONTRATADA</w:t>
      </w:r>
      <w:r>
        <w:rPr>
          <w:rFonts w:ascii="Times New Roman" w:hAnsi="Times New Roman" w:eastAsia="Arial" w:cs="Times New Roman"/>
          <w:sz w:val="24"/>
          <w:szCs w:val="24"/>
        </w:rPr>
        <w:t>, neste ato representado(a) por XXXXXXXXXXX (nome e função no contratado), conforme atos constitutivos da empresa,</w:t>
      </w:r>
      <w:r>
        <w:rPr>
          <w:rFonts w:ascii="Times New Roman" w:hAnsi="Times New Roman" w:eastAsia="Arial" w:cs="Times New Roman"/>
          <w:i/>
          <w:iCs/>
          <w:color w:val="FF0000"/>
          <w:sz w:val="24"/>
          <w:szCs w:val="24"/>
        </w:rPr>
        <w:t xml:space="preserve"> </w:t>
      </w:r>
      <w:r>
        <w:rPr>
          <w:rFonts w:ascii="Times New Roman" w:hAnsi="Times New Roman" w:eastAsia="Arial" w:cs="Times New Roman"/>
          <w:sz w:val="24"/>
          <w:szCs w:val="24"/>
        </w:rPr>
        <w:t xml:space="preserve">tendo em vista o que consta no Processo Administrativo SEI nº </w:t>
      </w:r>
      <w:r>
        <w:rPr>
          <w:rFonts w:ascii="Times New Roman" w:hAnsi="Times New Roman" w:cs="Times New Roman"/>
          <w:sz w:val="24"/>
          <w:szCs w:val="24"/>
        </w:rPr>
        <w:t xml:space="preserve">05941.2023-3 </w:t>
      </w:r>
      <w:r>
        <w:rPr>
          <w:rFonts w:ascii="Times New Roman" w:hAnsi="Times New Roman" w:eastAsia="Arial" w:cs="Times New Roman"/>
          <w:sz w:val="24"/>
          <w:szCs w:val="24"/>
        </w:rPr>
        <w:t xml:space="preserve">e em observância às disposições da </w:t>
      </w:r>
      <w:r>
        <w:fldChar w:fldCharType="begin"/>
      </w:r>
      <w:r>
        <w:instrText xml:space="preserve"> HYPERLINK "http://www.planalto.gov.br/ccivil_03/_ato2019-2022/2021/lei/L14133.htm" \h </w:instrText>
      </w:r>
      <w:r>
        <w:fldChar w:fldCharType="separate"/>
      </w:r>
      <w:r>
        <w:rPr>
          <w:rStyle w:val="54"/>
          <w:rFonts w:ascii="Times New Roman" w:hAnsi="Times New Roman" w:eastAsia="Arial"/>
          <w:sz w:val="24"/>
          <w:szCs w:val="24"/>
        </w:rPr>
        <w:t>Lei Federal nº 14.133, de 2021</w:t>
      </w:r>
      <w:r>
        <w:rPr>
          <w:rStyle w:val="54"/>
          <w:rFonts w:ascii="Times New Roman" w:hAnsi="Times New Roman" w:eastAsia="Arial"/>
          <w:sz w:val="24"/>
          <w:szCs w:val="24"/>
        </w:rPr>
        <w:fldChar w:fldCharType="end"/>
      </w:r>
      <w:r>
        <w:rPr>
          <w:rFonts w:ascii="Times New Roman" w:hAnsi="Times New Roman" w:eastAsia="Arial" w:cs="Times New Roman"/>
          <w:sz w:val="24"/>
          <w:szCs w:val="24"/>
        </w:rPr>
        <w:t xml:space="preserve">, e demais legislação aplicável, resolvem celebrar o presente Termo de Contrato, decorrente do Pregão nº </w:t>
      </w:r>
      <w:r>
        <w:rPr>
          <w:rFonts w:ascii="Times New Roman" w:hAnsi="Times New Roman" w:eastAsia="Arial" w:cs="Times New Roman"/>
          <w:sz w:val="24"/>
          <w:szCs w:val="24"/>
          <w:shd w:val="clear" w:fill="auto"/>
        </w:rPr>
        <w:t>002/2024,</w:t>
      </w:r>
      <w:r>
        <w:rPr>
          <w:rFonts w:ascii="Times New Roman" w:hAnsi="Times New Roman" w:eastAsia="Arial" w:cs="Times New Roman"/>
          <w:sz w:val="24"/>
          <w:szCs w:val="24"/>
        </w:rPr>
        <w:t xml:space="preserve"> mediante as cláusulas e condições a seguir enunciadas.</w:t>
      </w:r>
    </w:p>
    <w:p>
      <w:pPr>
        <w:pStyle w:val="28"/>
        <w:numPr>
          <w:ilvl w:val="0"/>
          <w:numId w:val="12"/>
        </w:numPr>
        <w:pBdr>
          <w:bottom w:val="single" w:color="000000" w:themeColor="dark1" w:sz="4" w:space="1"/>
        </w:pBdr>
        <w:shd w:val="clear" w:color="auto" w:fill="BEBEBE" w:themeFill="background1" w:themeFillShade="BF"/>
        <w:spacing w:before="360" w:beforeAutospacing="0" w:after="0" w:afterAutospacing="0"/>
        <w:jc w:val="both"/>
        <w:rPr>
          <w:color w:val="FFFFFF" w:themeColor="background1"/>
        </w:rPr>
      </w:pPr>
      <w:r>
        <w:rPr>
          <w:rStyle w:val="11"/>
          <w:color w:val="000000"/>
        </w:rPr>
        <w:t>OBJETO</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I e II</w:t>
      </w:r>
      <w:r>
        <w:rPr>
          <w:rStyle w:val="54"/>
        </w:rPr>
        <w:fldChar w:fldCharType="end"/>
      </w:r>
      <w:r>
        <w:rPr>
          <w:rStyle w:val="54"/>
        </w:rPr>
        <w:t>, da Lei Federal nº 14.133, de 2021</w:t>
      </w:r>
      <w:r>
        <w:t>)</w:t>
      </w:r>
    </w:p>
    <w:p>
      <w:pPr>
        <w:pStyle w:val="28"/>
        <w:numPr>
          <w:ilvl w:val="1"/>
          <w:numId w:val="12"/>
        </w:numPr>
        <w:tabs>
          <w:tab w:val="left" w:pos="993"/>
        </w:tabs>
        <w:spacing w:before="0" w:beforeAutospacing="0" w:after="120" w:afterAutospacing="0"/>
        <w:ind w:left="0" w:firstLine="567"/>
        <w:jc w:val="both"/>
      </w:pPr>
      <w:r>
        <w:t>O objeto do presente instrumento é a c</w:t>
      </w:r>
      <w:r>
        <w:rPr>
          <w:color w:val="000000"/>
        </w:rPr>
        <w:t xml:space="preserve">ontratação, pelo </w:t>
      </w:r>
      <w:r>
        <w:t xml:space="preserve">Sistema de Registro de Preços, </w:t>
      </w:r>
      <w:r>
        <w:rPr>
          <w:color w:val="000000"/>
        </w:rPr>
        <w:t xml:space="preserve">da </w:t>
      </w:r>
      <w:r>
        <w:rPr>
          <w:b/>
          <w:bCs/>
          <w:color w:val="000000"/>
          <w:kern w:val="0"/>
          <w:sz w:val="22"/>
          <w:szCs w:val="22"/>
          <w:shd w:val="clear" w:fill="auto"/>
          <w:lang w:val="pt-BR" w:bidi="ar-SA"/>
        </w:rPr>
        <w:t>Contratação de empresa especializada no Gerenciamento de Frotas e Combustível</w:t>
      </w:r>
      <w:r>
        <w:rPr>
          <w:rStyle w:val="45"/>
          <w:color w:val="000000"/>
          <w:sz w:val="22"/>
          <w:szCs w:val="22"/>
        </w:rPr>
        <w:t xml:space="preserve"> </w:t>
      </w:r>
      <w:r>
        <w:rPr>
          <w:rStyle w:val="45"/>
          <w:b/>
          <w:bCs/>
          <w:color w:val="000000"/>
          <w:sz w:val="22"/>
          <w:szCs w:val="22"/>
        </w:rPr>
        <w:t>por menor taxa de administração,</w:t>
      </w:r>
      <w:r>
        <w:t xml:space="preserve"> conforme quadro a seguir:</w:t>
      </w:r>
    </w:p>
    <w:tbl>
      <w:tblPr>
        <w:tblStyle w:val="9"/>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eastAsia="Times New Roman" w:cs="Times New Roman"/>
                <w:color w:val="000000"/>
                <w:sz w:val="24"/>
                <w:szCs w:val="24"/>
                <w:lang w:eastAsia="pt-BR"/>
              </w:rPr>
            </w:pPr>
            <w:r>
              <w:rPr>
                <w:rFonts w:ascii="Times New Roman" w:hAnsi="Times New Roman" w:eastAsia="Times New Roman" w:cs="Times New Roman"/>
                <w:color w:val="000000"/>
                <w:sz w:val="24"/>
                <w:szCs w:val="24"/>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eastAsia="Times New Roman" w:cs="Times New Roman"/>
                <w:color w:val="000000"/>
                <w:sz w:val="24"/>
                <w:szCs w:val="24"/>
                <w:lang w:eastAsia="pt-BR"/>
              </w:rPr>
            </w:pPr>
            <w:r>
              <w:rPr>
                <w:rFonts w:ascii="Times New Roman" w:hAnsi="Times New Roman" w:eastAsia="Times New Roman" w:cs="Times New Roman"/>
                <w:color w:val="000000"/>
                <w:sz w:val="24"/>
                <w:szCs w:val="24"/>
                <w:highlight w:val="yellow"/>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eastAsia="Times New Roman" w:cs="Times New Roman"/>
                <w:color w:val="000000"/>
                <w:sz w:val="24"/>
                <w:szCs w:val="24"/>
                <w:lang w:eastAsia="pt-BR"/>
              </w:rPr>
            </w:pPr>
            <w:r>
              <w:rPr>
                <w:rFonts w:ascii="Times New Roman" w:hAnsi="Times New Roman" w:eastAsia="Times New Roman" w:cs="Times New Roman"/>
                <w:color w:val="000000"/>
                <w:sz w:val="24"/>
                <w:szCs w:val="24"/>
                <w:lang w:eastAsia="pt-BR"/>
              </w:rPr>
              <w:t xml:space="preserve"> </w:t>
            </w:r>
            <w:r>
              <w:rPr>
                <w:rFonts w:ascii="Times New Roman" w:hAnsi="Times New Roman" w:eastAsia="Times New Roman" w:cs="Times New Roman"/>
                <w:color w:val="000000"/>
                <w:sz w:val="24"/>
                <w:szCs w:val="24"/>
                <w:highlight w:val="yellow"/>
                <w:lang w:eastAsia="pt-BR"/>
              </w:rPr>
              <w:t>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eastAsia="Times New Roman" w:cs="Times New Roman"/>
                <w:color w:val="000000"/>
                <w:sz w:val="24"/>
                <w:szCs w:val="24"/>
                <w:lang w:eastAsia="pt-BR"/>
              </w:rPr>
            </w:pPr>
            <w:r>
              <w:rPr>
                <w:rFonts w:ascii="Times New Roman" w:hAnsi="Times New Roman" w:eastAsia="Times New Roman" w:cs="Times New Roman"/>
                <w:color w:val="000000"/>
                <w:sz w:val="24"/>
                <w:szCs w:val="24"/>
                <w:lang w:eastAsia="pt-BR"/>
              </w:rPr>
              <w:t xml:space="preserve"> </w:t>
            </w:r>
            <w:r>
              <w:rPr>
                <w:rFonts w:ascii="Times New Roman" w:hAnsi="Times New Roman" w:eastAsia="Times New Roman" w:cs="Times New Roman"/>
                <w:color w:val="000000"/>
                <w:sz w:val="24"/>
                <w:szCs w:val="24"/>
                <w:highlight w:val="yellow"/>
                <w:lang w:eastAsia="pt-BR"/>
              </w:rPr>
              <w:t>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eastAsia="Times New Roman" w:cs="Times New Roman"/>
                <w:color w:val="000000"/>
                <w:sz w:val="24"/>
                <w:szCs w:val="24"/>
                <w:lang w:eastAsia="pt-BR"/>
              </w:rPr>
            </w:pPr>
            <w:r>
              <w:rPr>
                <w:rFonts w:ascii="Times New Roman" w:hAnsi="Times New Roman" w:eastAsia="Times New Roman" w:cs="Times New Roman"/>
                <w:color w:val="000000"/>
                <w:sz w:val="24"/>
                <w:szCs w:val="24"/>
                <w:lang w:eastAsia="pt-BR"/>
              </w:rPr>
              <w:t xml:space="preserve"> </w:t>
            </w:r>
            <w:r>
              <w:rPr>
                <w:rFonts w:ascii="Times New Roman" w:hAnsi="Times New Roman" w:eastAsia="Times New Roman" w:cs="Times New Roman"/>
                <w:color w:val="000000"/>
                <w:sz w:val="24"/>
                <w:szCs w:val="24"/>
                <w:highlight w:val="yellow"/>
                <w:lang w:eastAsia="pt-BR"/>
              </w:rPr>
              <w:t>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eastAsia="Times New Roman" w:cs="Times New Roman"/>
                <w:color w:val="000000"/>
                <w:sz w:val="24"/>
                <w:szCs w:val="24"/>
                <w:lang w:eastAsia="pt-BR"/>
              </w:rPr>
            </w:pPr>
            <w:r>
              <w:rPr>
                <w:rFonts w:ascii="Times New Roman" w:hAnsi="Times New Roman" w:eastAsia="Times New Roman" w:cs="Times New Roman"/>
                <w:color w:val="000000"/>
                <w:sz w:val="24"/>
                <w:szCs w:val="24"/>
                <w:lang w:eastAsia="pt-BR"/>
              </w:rPr>
              <w:t xml:space="preserve"> </w:t>
            </w:r>
            <w:r>
              <w:rPr>
                <w:rFonts w:ascii="Times New Roman" w:hAnsi="Times New Roman" w:eastAsia="Arial" w:cs="Times New Roman"/>
                <w:color w:val="000000"/>
                <w:sz w:val="24"/>
                <w:szCs w:val="24"/>
                <w:highlight w:val="yellow"/>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eastAsia="Times New Roman" w:cs="Times New Roman"/>
                <w:color w:val="000000"/>
                <w:sz w:val="24"/>
                <w:szCs w:val="24"/>
                <w:lang w:eastAsia="pt-BR"/>
              </w:rPr>
            </w:pPr>
            <w:r>
              <w:rPr>
                <w:rFonts w:ascii="Times New Roman" w:hAnsi="Times New Roman" w:eastAsia="Times New Roman" w:cs="Times New Roman"/>
                <w:color w:val="000000"/>
                <w:sz w:val="24"/>
                <w:szCs w:val="24"/>
                <w:lang w:eastAsia="pt-BR"/>
              </w:rPr>
              <w:t xml:space="preserve"> </w:t>
            </w:r>
            <w:r>
              <w:rPr>
                <w:rFonts w:ascii="Times New Roman" w:hAnsi="Times New Roman" w:eastAsia="Arial" w:cs="Times New Roman"/>
                <w:color w:val="000000"/>
                <w:sz w:val="24"/>
                <w:szCs w:val="24"/>
                <w:highlight w:val="yellow"/>
              </w:rPr>
              <w:t>R$xxxxxxx</w:t>
            </w:r>
          </w:p>
        </w:tc>
      </w:tr>
    </w:tbl>
    <w:p>
      <w:pPr>
        <w:pStyle w:val="28"/>
        <w:numPr>
          <w:ilvl w:val="1"/>
          <w:numId w:val="12"/>
        </w:numPr>
        <w:tabs>
          <w:tab w:val="left" w:pos="993"/>
        </w:tabs>
        <w:spacing w:before="120" w:beforeAutospacing="0" w:after="0" w:afterAutospacing="0"/>
        <w:ind w:left="0" w:firstLine="567"/>
        <w:jc w:val="both"/>
      </w:pPr>
      <w: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pPr>
        <w:pStyle w:val="28"/>
        <w:numPr>
          <w:ilvl w:val="1"/>
          <w:numId w:val="12"/>
        </w:numPr>
        <w:tabs>
          <w:tab w:val="left" w:pos="993"/>
        </w:tabs>
        <w:spacing w:before="0" w:beforeAutospacing="0" w:after="0" w:afterAutospacing="0"/>
        <w:ind w:left="0" w:firstLine="567"/>
        <w:jc w:val="both"/>
      </w:pPr>
      <w:r>
        <w:t>Fazem parte integrante do presente Termo de Contrato e a ele se vinculam, independentemente de transcrição:</w:t>
      </w:r>
    </w:p>
    <w:p>
      <w:pPr>
        <w:pStyle w:val="28"/>
        <w:numPr>
          <w:ilvl w:val="2"/>
          <w:numId w:val="12"/>
        </w:numPr>
        <w:tabs>
          <w:tab w:val="left" w:pos="993"/>
        </w:tabs>
        <w:spacing w:before="0" w:beforeAutospacing="0" w:after="0" w:afterAutospacing="0"/>
        <w:ind w:left="1077" w:hanging="357"/>
        <w:jc w:val="both"/>
      </w:pPr>
      <w:r>
        <w:t xml:space="preserve">O </w:t>
      </w:r>
      <w:r>
        <w:rPr>
          <w:rStyle w:val="45"/>
          <w:color w:val="000000"/>
        </w:rPr>
        <w:t>Termo de Referência</w:t>
      </w:r>
      <w:r>
        <w:t>;</w:t>
      </w:r>
    </w:p>
    <w:p>
      <w:pPr>
        <w:pStyle w:val="28"/>
        <w:numPr>
          <w:ilvl w:val="2"/>
          <w:numId w:val="12"/>
        </w:numPr>
        <w:tabs>
          <w:tab w:val="left" w:pos="993"/>
        </w:tabs>
        <w:spacing w:before="0" w:beforeAutospacing="0" w:after="0" w:afterAutospacing="0"/>
        <w:jc w:val="both"/>
      </w:pPr>
      <w:r>
        <w:t xml:space="preserve">O Edital do </w:t>
      </w:r>
      <w:r>
        <w:rPr>
          <w:rFonts w:eastAsia="Arial"/>
        </w:rPr>
        <w:t>Pregão</w:t>
      </w:r>
      <w:r>
        <w:t xml:space="preserve"> nº </w:t>
      </w:r>
      <w:r>
        <w:rPr>
          <w:rFonts w:asciiTheme="minorHAnsi" w:hAnsiTheme="minorHAnsi" w:eastAsiaTheme="minorHAnsi" w:cstheme="minorBidi"/>
          <w:color w:val="000000"/>
          <w:shd w:val="clear" w:fill="auto"/>
        </w:rPr>
        <w:t>002/2024;</w:t>
      </w:r>
    </w:p>
    <w:p>
      <w:pPr>
        <w:pStyle w:val="28"/>
        <w:numPr>
          <w:ilvl w:val="2"/>
          <w:numId w:val="12"/>
        </w:numPr>
        <w:tabs>
          <w:tab w:val="left" w:pos="993"/>
        </w:tabs>
        <w:spacing w:before="0" w:beforeAutospacing="0" w:after="0" w:afterAutospacing="0"/>
        <w:jc w:val="both"/>
      </w:pPr>
      <w:r>
        <w:t>A Proposta da Contratada;</w:t>
      </w:r>
    </w:p>
    <w:p>
      <w:pPr>
        <w:pStyle w:val="28"/>
        <w:numPr>
          <w:ilvl w:val="2"/>
          <w:numId w:val="12"/>
        </w:numPr>
        <w:tabs>
          <w:tab w:val="left" w:pos="993"/>
        </w:tabs>
        <w:spacing w:before="0" w:beforeAutospacing="0" w:after="0" w:afterAutospacing="0"/>
        <w:jc w:val="both"/>
      </w:pPr>
      <w:r>
        <w:t xml:space="preserve">As Notas de Empenho emitidas a partir da ARP nº </w:t>
      </w:r>
      <w:r>
        <w:rPr>
          <w:rFonts w:asciiTheme="minorHAnsi" w:hAnsiTheme="minorHAnsi" w:eastAsiaTheme="minorHAnsi" w:cstheme="minorBidi"/>
          <w:shd w:val="clear" w:fill="auto"/>
        </w:rPr>
        <w:t>002/2024;</w:t>
      </w:r>
    </w:p>
    <w:p>
      <w:pPr>
        <w:pStyle w:val="28"/>
        <w:numPr>
          <w:ilvl w:val="2"/>
          <w:numId w:val="12"/>
        </w:numPr>
        <w:tabs>
          <w:tab w:val="left" w:pos="993"/>
        </w:tabs>
        <w:spacing w:before="0" w:beforeAutospacing="0" w:after="0" w:afterAutospacing="0"/>
        <w:jc w:val="both"/>
      </w:pPr>
      <w:r>
        <w:t>Eventuais anexos dos documentos supracitados.</w:t>
      </w:r>
    </w:p>
    <w:p>
      <w:pPr>
        <w:pStyle w:val="28"/>
        <w:numPr>
          <w:ilvl w:val="0"/>
          <w:numId w:val="0"/>
        </w:numPr>
        <w:tabs>
          <w:tab w:val="left" w:pos="993"/>
        </w:tabs>
        <w:spacing w:before="0" w:beforeAutospacing="0" w:after="0" w:afterAutospacing="0"/>
        <w:ind w:left="1080" w:firstLine="0"/>
        <w:jc w:val="both"/>
      </w:pP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rStyle w:val="11"/>
          <w:color w:val="000000"/>
        </w:rPr>
      </w:pPr>
      <w:r>
        <w:rPr>
          <w:rStyle w:val="11"/>
          <w:color w:val="000000"/>
        </w:rPr>
        <w:t>VIGÊNCIA E PRORROGAÇÃO</w:t>
      </w:r>
    </w:p>
    <w:p>
      <w:pPr>
        <w:pStyle w:val="28"/>
        <w:numPr>
          <w:ilvl w:val="1"/>
          <w:numId w:val="12"/>
        </w:numPr>
        <w:tabs>
          <w:tab w:val="left" w:pos="993"/>
        </w:tabs>
        <w:spacing w:before="0" w:beforeAutospacing="0" w:after="0" w:afterAutospacing="0"/>
        <w:ind w:left="0" w:firstLine="567"/>
        <w:jc w:val="both"/>
      </w:pPr>
      <w:r>
        <w:t>O prazo de vigência da contratação é de 1 (um) ano contado da contratação, sendo automaticamente prorrogado, independentemente de termo aditivo, quando o objeto não for concluído no período firmado acima (</w:t>
      </w:r>
      <w:r>
        <w:fldChar w:fldCharType="begin"/>
      </w:r>
      <w:r>
        <w:rPr>
          <w:rStyle w:val="54"/>
        </w:rPr>
        <w:instrText xml:space="preserve"> HYPERLINK "http://www.planalto.gov.br/ccivil_03/_ato2019-2022/2021/lei/L14133.htm" \l "art111"</w:instrText>
      </w:r>
      <w:r>
        <w:rPr>
          <w:rStyle w:val="54"/>
        </w:rPr>
        <w:fldChar w:fldCharType="separate"/>
      </w:r>
      <w:r>
        <w:rPr>
          <w:rStyle w:val="54"/>
        </w:rPr>
        <w:t>art. 111 da Lei Federal nº 14.133, de 2021</w:t>
      </w:r>
      <w:r>
        <w:rPr>
          <w:rStyle w:val="54"/>
        </w:rPr>
        <w:fldChar w:fldCharType="end"/>
      </w:r>
      <w:r>
        <w:t>), ressalvadas as providências cabíveis no caso de culpa da Contratada, previstas neste instrumento.</w:t>
      </w:r>
    </w:p>
    <w:p>
      <w:pPr>
        <w:pStyle w:val="28"/>
        <w:numPr>
          <w:ilvl w:val="1"/>
          <w:numId w:val="12"/>
        </w:numPr>
        <w:tabs>
          <w:tab w:val="left" w:pos="993"/>
        </w:tabs>
        <w:spacing w:before="0" w:beforeAutospacing="0" w:after="0" w:afterAutospacing="0"/>
        <w:ind w:left="0" w:firstLine="567"/>
        <w:jc w:val="both"/>
      </w:pPr>
      <w:r>
        <w:t>A Contratada não tem direito subjetivo à prorrogação contratual.</w:t>
      </w:r>
    </w:p>
    <w:p>
      <w:pPr>
        <w:pStyle w:val="28"/>
        <w:numPr>
          <w:ilvl w:val="1"/>
          <w:numId w:val="12"/>
        </w:numPr>
        <w:tabs>
          <w:tab w:val="left" w:pos="993"/>
        </w:tabs>
        <w:spacing w:before="0" w:beforeAutospacing="0" w:after="0" w:afterAutospacing="0"/>
        <w:ind w:left="0" w:firstLine="567"/>
        <w:jc w:val="both"/>
      </w:pPr>
      <w:r>
        <w:t xml:space="preserve">A prorrogação de contrato, sempre que possível, deverá ser promovida mediante celebração de termo aditivo. </w:t>
      </w:r>
    </w:p>
    <w:p>
      <w:pPr>
        <w:pStyle w:val="28"/>
        <w:numPr>
          <w:ilvl w:val="1"/>
          <w:numId w:val="12"/>
        </w:numPr>
        <w:tabs>
          <w:tab w:val="left" w:pos="993"/>
        </w:tabs>
        <w:spacing w:before="0" w:beforeAutospacing="0" w:after="0" w:afterAutospacing="0"/>
        <w:ind w:left="0" w:firstLine="567"/>
        <w:jc w:val="both"/>
      </w:pPr>
      <w:r>
        <w:t>Nas eventuais prorrogações contratuais, os custos não renováveis já pagos ou amortizados ao longo do primeiro período de vigência da contratação deverão ser reduzidos ou eliminados como condição para a renovação.</w:t>
      </w:r>
    </w:p>
    <w:p>
      <w:pPr>
        <w:pStyle w:val="28"/>
        <w:numPr>
          <w:ilvl w:val="1"/>
          <w:numId w:val="12"/>
        </w:numPr>
        <w:tabs>
          <w:tab w:val="left" w:pos="993"/>
        </w:tabs>
        <w:spacing w:before="0" w:beforeAutospacing="0" w:after="0" w:afterAutospacing="0"/>
        <w:ind w:left="0" w:firstLine="567"/>
        <w:jc w:val="both"/>
      </w:pPr>
      <w:r>
        <w:t>O contrato não poderá ser prorrogado quando a Contratada tiver sido penalizada nas sanções de declaração de inidoneidade ou impedimento de licitar e contratar com poder público, observadas as abrangências de aplicação.</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bookmarkStart w:id="74" w:name="_Hlk114497502"/>
      <w:bookmarkEnd w:id="74"/>
      <w:bookmarkStart w:id="75" w:name="_Hlk114497577"/>
      <w:bookmarkEnd w:id="75"/>
      <w:r>
        <w:rPr>
          <w:rStyle w:val="11"/>
          <w:color w:val="000000"/>
        </w:rPr>
        <w:t>LEGISLAÇÃO APLICÁVEL</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III, da Lei Federal nº 14.133, de 2021)</w:t>
      </w:r>
      <w:r>
        <w:rPr>
          <w:rStyle w:val="54"/>
        </w:rPr>
        <w:fldChar w:fldCharType="end"/>
      </w:r>
    </w:p>
    <w:p>
      <w:pPr>
        <w:pStyle w:val="28"/>
        <w:numPr>
          <w:ilvl w:val="1"/>
          <w:numId w:val="12"/>
        </w:numPr>
        <w:tabs>
          <w:tab w:val="left" w:pos="993"/>
        </w:tabs>
        <w:spacing w:before="0" w:beforeAutospacing="0" w:after="0" w:afterAutospacing="0"/>
        <w:ind w:left="0" w:firstLine="567"/>
        <w:jc w:val="both"/>
      </w:pPr>
      <w:r>
        <w:t xml:space="preserve">O presente Termo de Contrato se vincula à </w:t>
      </w:r>
      <w:r>
        <w:fldChar w:fldCharType="begin"/>
      </w:r>
      <w:r>
        <w:instrText xml:space="preserve"> HYPERLINK "http://www.planalto.gov.br/ccivil_03/_ato2019-2022/2021/lei/L14133.htm" \h </w:instrText>
      </w:r>
      <w:r>
        <w:fldChar w:fldCharType="separate"/>
      </w:r>
      <w:r>
        <w:rPr>
          <w:rStyle w:val="54"/>
        </w:rPr>
        <w:t>Lei Federal nº 14.133, de 2021</w:t>
      </w:r>
      <w:r>
        <w:rPr>
          <w:rStyle w:val="54"/>
        </w:rPr>
        <w:fldChar w:fldCharType="end"/>
      </w:r>
      <w:r>
        <w:t>, e, subsidiariamente, às seguintes leis:</w:t>
      </w:r>
    </w:p>
    <w:p>
      <w:pPr>
        <w:pStyle w:val="28"/>
        <w:numPr>
          <w:ilvl w:val="2"/>
          <w:numId w:val="12"/>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54"/>
        </w:rPr>
        <w:t>Lei Complementar Federal nº 123, de 2006</w:t>
      </w:r>
      <w:r>
        <w:rPr>
          <w:rStyle w:val="54"/>
        </w:rPr>
        <w:fldChar w:fldCharType="end"/>
      </w:r>
      <w:r>
        <w:t xml:space="preserve"> (Estatuto Nacional da Microempresa e Pequena Empresa);</w:t>
      </w:r>
    </w:p>
    <w:p>
      <w:pPr>
        <w:pStyle w:val="28"/>
        <w:numPr>
          <w:ilvl w:val="2"/>
          <w:numId w:val="12"/>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54"/>
        </w:rPr>
        <w:t>Lei Federal nº 10.406, de 2002</w:t>
      </w:r>
      <w:r>
        <w:rPr>
          <w:rStyle w:val="54"/>
        </w:rPr>
        <w:fldChar w:fldCharType="end"/>
      </w:r>
      <w:r>
        <w:t xml:space="preserve"> (Código Civil);</w:t>
      </w:r>
    </w:p>
    <w:p>
      <w:pPr>
        <w:pStyle w:val="28"/>
        <w:numPr>
          <w:ilvl w:val="2"/>
          <w:numId w:val="12"/>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54"/>
        </w:rPr>
        <w:t>Lei Federal nº 8.078, de 1990</w:t>
      </w:r>
      <w:r>
        <w:rPr>
          <w:rStyle w:val="54"/>
        </w:rPr>
        <w:fldChar w:fldCharType="end"/>
      </w:r>
      <w:r>
        <w:t xml:space="preserve"> (Código de Defesa do Consumidor);</w:t>
      </w:r>
    </w:p>
    <w:p>
      <w:pPr>
        <w:pStyle w:val="28"/>
        <w:numPr>
          <w:ilvl w:val="2"/>
          <w:numId w:val="12"/>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54"/>
        </w:rPr>
        <w:t>Lei Federal nº 12.846, de 2013</w:t>
      </w:r>
      <w:r>
        <w:rPr>
          <w:rStyle w:val="54"/>
        </w:rPr>
        <w:fldChar w:fldCharType="end"/>
      </w:r>
      <w:r>
        <w:t xml:space="preserve"> (Dispõe sobre a responsabilização administrativa e civil de pessoas jurídicas pela prática de atos contra a administração pública, nacional ou estrangeira, e dá outras providências);</w:t>
      </w:r>
    </w:p>
    <w:p>
      <w:pPr>
        <w:pStyle w:val="28"/>
        <w:numPr>
          <w:ilvl w:val="2"/>
          <w:numId w:val="12"/>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54"/>
        </w:rPr>
        <w:t>Lei Federal nº 12.527, de 2011</w:t>
      </w:r>
      <w:r>
        <w:rPr>
          <w:rStyle w:val="54"/>
        </w:rPr>
        <w:fldChar w:fldCharType="end"/>
      </w:r>
      <w:r>
        <w:t xml:space="preserve"> (Lei de Acesso à Informação);</w:t>
      </w:r>
    </w:p>
    <w:p>
      <w:pPr>
        <w:pStyle w:val="28"/>
        <w:numPr>
          <w:ilvl w:val="2"/>
          <w:numId w:val="12"/>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t xml:space="preserve"> (Lei Geral de Proteção de Dados - LGPD).</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 xml:space="preserve">REGIME DE EXECUÇÃO </w:t>
      </w:r>
      <w:r>
        <w:t>(</w:t>
      </w:r>
      <w:r>
        <w:fldChar w:fldCharType="begin"/>
      </w:r>
      <w:r>
        <w:rPr>
          <w:rStyle w:val="54"/>
        </w:rPr>
        <w:instrText xml:space="preserve"> HYPERLINK "https://www.planalto.gov.br/ccivil_03/_ato2019-2022/2021/lei/l14133.htm" \l "art92"</w:instrText>
      </w:r>
      <w:r>
        <w:rPr>
          <w:rStyle w:val="54"/>
        </w:rPr>
        <w:fldChar w:fldCharType="separate"/>
      </w:r>
      <w:r>
        <w:rPr>
          <w:rStyle w:val="54"/>
        </w:rPr>
        <w:t>art. 92, IV,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O regime de execução é o de empreitada por preço global (</w:t>
      </w:r>
      <w:r>
        <w:fldChar w:fldCharType="begin"/>
      </w:r>
      <w:r>
        <w:rPr>
          <w:rStyle w:val="54"/>
        </w:rPr>
        <w:instrText xml:space="preserve"> HYPERLINK "http://www.planalto.gov.br/ccivil_03/_ato2019-2022/2021/lei/L14133.htm" \l "art46"</w:instrText>
      </w:r>
      <w:r>
        <w:rPr>
          <w:rStyle w:val="54"/>
        </w:rPr>
        <w:fldChar w:fldCharType="separate"/>
      </w:r>
      <w:r>
        <w:rPr>
          <w:rStyle w:val="54"/>
        </w:rPr>
        <w:t>art. 46, II, da Lei Federal nº 14.133, de 2021</w:t>
      </w:r>
      <w:r>
        <w:rPr>
          <w:rStyle w:val="54"/>
        </w:rPr>
        <w:fldChar w:fldCharType="end"/>
      </w:r>
      <w:r>
        <w:t>).</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rStyle w:val="11"/>
          <w:color w:val="000000"/>
        </w:rPr>
      </w:pPr>
      <w:r>
        <w:rPr>
          <w:rStyle w:val="11"/>
          <w:color w:val="000000"/>
        </w:rPr>
        <w:t xml:space="preserve">SUBCONTRATAÇÃO </w:t>
      </w:r>
      <w:r>
        <w:rPr>
          <w:rStyle w:val="11"/>
          <w:b w:val="0"/>
          <w:bCs w:val="0"/>
          <w:color w:val="000000"/>
        </w:rPr>
        <w:t>(</w:t>
      </w:r>
      <w:r>
        <w:fldChar w:fldCharType="begin"/>
      </w:r>
      <w:r>
        <w:rPr>
          <w:rStyle w:val="54"/>
        </w:rPr>
        <w:instrText xml:space="preserve"> HYPERLINK "https://www.planalto.gov.br/ccivil_03/_ato2019-2022/2021/lei/l14133.htm" \l "art122"</w:instrText>
      </w:r>
      <w:r>
        <w:rPr>
          <w:rStyle w:val="54"/>
        </w:rPr>
        <w:fldChar w:fldCharType="separate"/>
      </w:r>
      <w:r>
        <w:rPr>
          <w:rStyle w:val="54"/>
        </w:rPr>
        <w:t>art. 122 da Lei Federal nº 14.133, de 2021</w:t>
      </w:r>
      <w:r>
        <w:rPr>
          <w:rStyle w:val="54"/>
        </w:rPr>
        <w:fldChar w:fldCharType="end"/>
      </w:r>
      <w:r>
        <w:rPr>
          <w:rStyle w:val="11"/>
          <w:b w:val="0"/>
          <w:bCs w:val="0"/>
          <w:color w:val="000000"/>
        </w:rPr>
        <w:t>)</w:t>
      </w:r>
    </w:p>
    <w:p>
      <w:pPr>
        <w:pStyle w:val="28"/>
        <w:numPr>
          <w:ilvl w:val="1"/>
          <w:numId w:val="12"/>
        </w:numPr>
        <w:tabs>
          <w:tab w:val="left" w:pos="993"/>
        </w:tabs>
        <w:spacing w:before="0" w:beforeAutospacing="0" w:after="0" w:afterAutospacing="0"/>
        <w:ind w:left="0" w:firstLine="567"/>
        <w:jc w:val="both"/>
      </w:pPr>
      <w:r>
        <w:t>Não será admitida a subcontratação do objeto contratual.</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OBRIGAÇÕES DO CONTRATANTE</w:t>
      </w:r>
      <w:r>
        <w:t xml:space="preserve"> (</w:t>
      </w:r>
      <w:r>
        <w:fldChar w:fldCharType="begin"/>
      </w:r>
      <w:r>
        <w:rPr>
          <w:rStyle w:val="54"/>
        </w:rPr>
        <w:instrText xml:space="preserve"> HYPERLINK "https://www.planalto.gov.br/ccivil_03/_ato2019-2022/2021/lei/l14133.htm" \l "art92"</w:instrText>
      </w:r>
      <w:r>
        <w:rPr>
          <w:rStyle w:val="54"/>
        </w:rPr>
        <w:fldChar w:fldCharType="separate"/>
      </w:r>
      <w:r>
        <w:rPr>
          <w:rStyle w:val="54"/>
        </w:rPr>
        <w:t>art. 92, X, XI e XIV,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 xml:space="preserve">São </w:t>
      </w:r>
      <w:r>
        <w:rPr>
          <w:color w:val="000000" w:themeColor="text1"/>
        </w:rPr>
        <w:t>obrigações</w:t>
      </w:r>
      <w:r>
        <w:t xml:space="preserve"> do Contratante:</w:t>
      </w:r>
    </w:p>
    <w:p>
      <w:pPr>
        <w:pStyle w:val="28"/>
        <w:numPr>
          <w:ilvl w:val="2"/>
          <w:numId w:val="12"/>
        </w:numPr>
        <w:tabs>
          <w:tab w:val="left" w:pos="993"/>
        </w:tabs>
        <w:spacing w:before="0" w:beforeAutospacing="0" w:after="0" w:afterAutospacing="0"/>
        <w:jc w:val="both"/>
      </w:pPr>
      <w:r>
        <w:t>exigir o cumprimento de todas as obrigações assumidas pela Contratada, de acordo com o contrato e seus anexos;</w:t>
      </w:r>
    </w:p>
    <w:p>
      <w:pPr>
        <w:pStyle w:val="28"/>
        <w:numPr>
          <w:ilvl w:val="2"/>
          <w:numId w:val="12"/>
        </w:numPr>
        <w:tabs>
          <w:tab w:val="left" w:pos="993"/>
        </w:tabs>
        <w:spacing w:before="0" w:beforeAutospacing="0" w:after="0" w:afterAutospacing="0"/>
        <w:jc w:val="both"/>
      </w:pPr>
      <w:r>
        <w:rPr>
          <w:color w:val="000000"/>
        </w:rPr>
        <w:t xml:space="preserve">Não exigir da Contratada, serviços estranhos às atividades especificadas no </w:t>
      </w:r>
      <w:r>
        <w:rPr>
          <w:rStyle w:val="45"/>
          <w:color w:val="000000"/>
        </w:rPr>
        <w:t>Termo de Referência</w:t>
      </w:r>
      <w:r>
        <w:rPr>
          <w:color w:val="000000"/>
        </w:rPr>
        <w:t>;</w:t>
      </w:r>
    </w:p>
    <w:p>
      <w:pPr>
        <w:pStyle w:val="28"/>
        <w:numPr>
          <w:ilvl w:val="2"/>
          <w:numId w:val="12"/>
        </w:numPr>
        <w:tabs>
          <w:tab w:val="left" w:pos="993"/>
        </w:tabs>
        <w:spacing w:before="0" w:beforeAutospacing="0" w:after="0" w:afterAutospacing="0"/>
        <w:jc w:val="both"/>
      </w:pPr>
      <w:r>
        <w:t xml:space="preserve">acompanhar e fiscalizar a execução do contrato e o cumprimento das obrigações pela Contratada, </w:t>
      </w:r>
      <w:r>
        <w:rPr>
          <w:color w:val="000000"/>
        </w:rPr>
        <w:t>anotando em registro próprio as falhas detectadas e comunicar as ocorrências de quaisquer fatos que exijam medidas corretivas por parte da Contratada</w:t>
      </w:r>
      <w:r>
        <w:t>;</w:t>
      </w:r>
    </w:p>
    <w:p>
      <w:pPr>
        <w:pStyle w:val="28"/>
        <w:numPr>
          <w:ilvl w:val="2"/>
          <w:numId w:val="12"/>
        </w:numPr>
        <w:tabs>
          <w:tab w:val="left" w:pos="993"/>
        </w:tabs>
        <w:spacing w:before="0" w:beforeAutospacing="0" w:after="0" w:afterAutospacing="0"/>
        <w:jc w:val="both"/>
      </w:pPr>
      <w:r>
        <w:t>fornecer as informações necessárias para o desenvolvimento dos serviços objeto do contrato;</w:t>
      </w:r>
    </w:p>
    <w:p>
      <w:pPr>
        <w:pStyle w:val="28"/>
        <w:numPr>
          <w:ilvl w:val="2"/>
          <w:numId w:val="12"/>
        </w:numPr>
        <w:tabs>
          <w:tab w:val="left" w:pos="993"/>
        </w:tabs>
        <w:spacing w:before="0" w:beforeAutospacing="0" w:after="0" w:afterAutospacing="0"/>
        <w:jc w:val="both"/>
      </w:pPr>
      <w:r>
        <w:t>previamente à expedição da ordem de serviço, verificar pendências, liberar áreas e/ou adotar providências cabíveis para a regularidade do início da sua execução;</w:t>
      </w:r>
    </w:p>
    <w:p>
      <w:pPr>
        <w:pStyle w:val="28"/>
        <w:numPr>
          <w:ilvl w:val="2"/>
          <w:numId w:val="12"/>
        </w:numPr>
        <w:tabs>
          <w:tab w:val="left" w:pos="993"/>
        </w:tabs>
        <w:spacing w:before="0" w:beforeAutospacing="0" w:after="0" w:afterAutospacing="0"/>
        <w:jc w:val="both"/>
      </w:pPr>
      <w: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28"/>
        <w:numPr>
          <w:ilvl w:val="2"/>
          <w:numId w:val="12"/>
        </w:numPr>
        <w:tabs>
          <w:tab w:val="left" w:pos="993"/>
        </w:tabs>
        <w:spacing w:before="0" w:beforeAutospacing="0" w:after="0" w:afterAutospacing="0"/>
        <w:jc w:val="both"/>
      </w:pPr>
      <w:r>
        <w:t>comunicar a Contratada para emissão de Nota Fiscal no que se refere à parcela incontroversa da execução do objeto, para efeito de liquidação;</w:t>
      </w:r>
    </w:p>
    <w:p>
      <w:pPr>
        <w:pStyle w:val="28"/>
        <w:numPr>
          <w:ilvl w:val="2"/>
          <w:numId w:val="12"/>
        </w:numPr>
        <w:tabs>
          <w:tab w:val="left" w:pos="993"/>
        </w:tabs>
        <w:spacing w:before="0" w:beforeAutospacing="0" w:after="0" w:afterAutospacing="0"/>
        <w:jc w:val="both"/>
      </w:pPr>
      <w:r>
        <w:t xml:space="preserve">receber o objeto no prazo e condições estabelecidas no </w:t>
      </w:r>
      <w:r>
        <w:rPr>
          <w:rStyle w:val="45"/>
          <w:color w:val="000000"/>
        </w:rPr>
        <w:t>Termo de Referência</w:t>
      </w:r>
      <w:r>
        <w:t>;</w:t>
      </w:r>
    </w:p>
    <w:p>
      <w:pPr>
        <w:pStyle w:val="28"/>
        <w:numPr>
          <w:ilvl w:val="2"/>
          <w:numId w:val="12"/>
        </w:numPr>
        <w:tabs>
          <w:tab w:val="left" w:pos="993"/>
        </w:tabs>
        <w:spacing w:before="0" w:beforeAutospacing="0" w:after="0" w:afterAutospacing="0"/>
        <w:jc w:val="both"/>
      </w:pPr>
      <w:r>
        <w:t xml:space="preserve">efetuar o pagamento à Contratada do valor correspondente à execução do objeto, no prazo, forma e condições estabelecidos no presente Contrato e no </w:t>
      </w:r>
      <w:r>
        <w:rPr>
          <w:rStyle w:val="45"/>
          <w:color w:val="000000"/>
        </w:rPr>
        <w:t>Termo de Referência</w:t>
      </w:r>
      <w:r>
        <w:t>, salvo no caso de parcela onde houver controvérsia.</w:t>
      </w:r>
    </w:p>
    <w:p>
      <w:pPr>
        <w:pStyle w:val="28"/>
        <w:numPr>
          <w:ilvl w:val="1"/>
          <w:numId w:val="12"/>
        </w:numPr>
        <w:tabs>
          <w:tab w:val="left" w:pos="993"/>
        </w:tabs>
        <w:spacing w:before="0" w:beforeAutospacing="0" w:after="0" w:afterAutospacing="0"/>
        <w:ind w:left="0" w:firstLine="567"/>
        <w:jc w:val="both"/>
        <w:rPr>
          <w:color w:val="000000"/>
        </w:rPr>
      </w:pPr>
      <w:bookmarkStart w:id="76" w:name="_Hlk114499841"/>
      <w:bookmarkEnd w:id="76"/>
      <w:r>
        <w:rPr>
          <w:color w:val="000000"/>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54"/>
        </w:rPr>
        <w:instrText xml:space="preserve"> HYPERLINK "https://www.planalto.gov.br/ccivil_03/_ato2019-2022/2021/lei/l14133.htm" \l "art123"</w:instrText>
      </w:r>
      <w:r>
        <w:rPr>
          <w:rStyle w:val="54"/>
        </w:rPr>
        <w:fldChar w:fldCharType="separate"/>
      </w:r>
      <w:r>
        <w:rPr>
          <w:rStyle w:val="54"/>
        </w:rPr>
        <w:t>art. 123 da Lei Federal nº 14.133, de 2021</w:t>
      </w:r>
      <w:r>
        <w:rPr>
          <w:rStyle w:val="54"/>
        </w:rPr>
        <w:fldChar w:fldCharType="end"/>
      </w:r>
      <w:r>
        <w:rPr>
          <w:color w:val="000000"/>
        </w:rP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OBRIGAÇÕES DA CONTRATADA</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XIV, XVI e XVII</w:t>
      </w:r>
      <w:r>
        <w:rPr>
          <w:rStyle w:val="54"/>
        </w:rPr>
        <w:fldChar w:fldCharType="end"/>
      </w:r>
      <w:r>
        <w:rPr>
          <w:rStyle w:val="54"/>
        </w:rPr>
        <w:t>, da Lei Federal nº 14.133, de 2021</w:t>
      </w:r>
      <w:r>
        <w:t>)</w:t>
      </w:r>
    </w:p>
    <w:p>
      <w:pPr>
        <w:pStyle w:val="28"/>
        <w:numPr>
          <w:ilvl w:val="1"/>
          <w:numId w:val="12"/>
        </w:numPr>
        <w:tabs>
          <w:tab w:val="left" w:pos="993"/>
        </w:tabs>
        <w:spacing w:before="0" w:beforeAutospacing="0" w:after="0" w:afterAutospacing="0"/>
        <w:ind w:left="0" w:firstLine="567"/>
        <w:jc w:val="both"/>
      </w:pPr>
      <w: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28"/>
        <w:numPr>
          <w:ilvl w:val="2"/>
          <w:numId w:val="12"/>
        </w:numPr>
        <w:tabs>
          <w:tab w:val="left" w:pos="993"/>
        </w:tabs>
        <w:spacing w:before="0" w:beforeAutospacing="0" w:after="0" w:afterAutospacing="0"/>
        <w:jc w:val="both"/>
      </w:pPr>
      <w:r>
        <w:t>manter preposto aceito pela Administração no local do serviço para representá-lo na execução do contrato (</w:t>
      </w:r>
      <w:r>
        <w:fldChar w:fldCharType="begin"/>
      </w:r>
      <w:r>
        <w:rPr>
          <w:rStyle w:val="54"/>
        </w:rPr>
        <w:instrText xml:space="preserve"> HYPERLINK "https://www.planalto.gov.br/ccivil_03/_ato2019-2022/2021/lei/l14133.htm" \l "art118"</w:instrText>
      </w:r>
      <w:r>
        <w:rPr>
          <w:rStyle w:val="54"/>
        </w:rPr>
        <w:fldChar w:fldCharType="separate"/>
      </w:r>
      <w:r>
        <w:rPr>
          <w:rStyle w:val="54"/>
        </w:rPr>
        <w:t>art. 118 da Lei Federal nº 14.133, de 2021</w:t>
      </w:r>
      <w:r>
        <w:rPr>
          <w:rStyle w:val="54"/>
        </w:rPr>
        <w:fldChar w:fldCharType="end"/>
      </w:r>
      <w:r>
        <w:t>), sendo que a indicação ou a manutenção do preposto da Contratada poderá ser recusada pelo Contratante, desde que devidamente justificada, devendo a Contratada designar outro para o exercício da atividade;</w:t>
      </w:r>
    </w:p>
    <w:p>
      <w:pPr>
        <w:pStyle w:val="28"/>
        <w:numPr>
          <w:ilvl w:val="2"/>
          <w:numId w:val="12"/>
        </w:numPr>
        <w:tabs>
          <w:tab w:val="left" w:pos="993"/>
        </w:tabs>
        <w:spacing w:before="0" w:beforeAutospacing="0" w:after="0" w:afterAutospacing="0"/>
        <w:jc w:val="both"/>
      </w:pPr>
      <w:r>
        <w:t>atender às determinações regulares emitidas pelo(a) fiscal do contrato ou autoridade superior (</w:t>
      </w:r>
      <w:r>
        <w:fldChar w:fldCharType="begin"/>
      </w:r>
      <w:r>
        <w:rPr>
          <w:rStyle w:val="54"/>
        </w:rPr>
        <w:instrText xml:space="preserve"> HYPERLINK "http://www.planalto.gov.br/ccivil_03/_ato2019-2022/2021/lei/L14133.htm" \l "art137"</w:instrText>
      </w:r>
      <w:r>
        <w:rPr>
          <w:rStyle w:val="54"/>
        </w:rPr>
        <w:fldChar w:fldCharType="separate"/>
      </w:r>
      <w:r>
        <w:rPr>
          <w:rStyle w:val="54"/>
        </w:rPr>
        <w:t>art. 137, II</w:t>
      </w:r>
      <w:r>
        <w:rPr>
          <w:rStyle w:val="54"/>
        </w:rPr>
        <w:fldChar w:fldCharType="end"/>
      </w:r>
      <w:r>
        <w:rPr>
          <w:rStyle w:val="54"/>
        </w:rPr>
        <w:t>, da Lei Federal nº 14.133, de 2021</w:t>
      </w:r>
      <w:r>
        <w:t>)</w:t>
      </w:r>
      <w:r>
        <w:rPr>
          <w:color w:val="000000" w:themeColor="text1"/>
        </w:rPr>
        <w:t xml:space="preserve"> e </w:t>
      </w:r>
      <w:r>
        <w:t>prestar todo esclarecimento ou informação por eles solicitados;</w:t>
      </w:r>
    </w:p>
    <w:p>
      <w:pPr>
        <w:pStyle w:val="28"/>
        <w:numPr>
          <w:ilvl w:val="2"/>
          <w:numId w:val="12"/>
        </w:numPr>
        <w:tabs>
          <w:tab w:val="left" w:pos="993"/>
        </w:tabs>
        <w:spacing w:before="0" w:beforeAutospacing="0" w:after="0" w:afterAutospacing="0"/>
        <w:jc w:val="both"/>
      </w:pPr>
      <w:r>
        <w:t xml:space="preserve">alocar os empregados necessários ao perfeito cumprimento das cláusulas deste contrato, com habilitação e conhecimento adequados, em especial aqueles descritos para execução dos serviços previstos no </w:t>
      </w:r>
      <w:r>
        <w:rPr>
          <w:rStyle w:val="45"/>
          <w:color w:val="000000"/>
        </w:rPr>
        <w:t>Termo de Referência</w:t>
      </w:r>
      <w:r>
        <w:t>, materiais, equipamentos, ferramentas e utensílios demandados, cuja quantidade, qualidade e tecnologia deverão atender às recomendações de boa técnica e a legislação de regência;</w:t>
      </w:r>
    </w:p>
    <w:p>
      <w:pPr>
        <w:pStyle w:val="28"/>
        <w:numPr>
          <w:ilvl w:val="2"/>
          <w:numId w:val="12"/>
        </w:numPr>
        <w:tabs>
          <w:tab w:val="left" w:pos="993"/>
        </w:tabs>
        <w:spacing w:before="0" w:beforeAutospacing="0" w:after="0" w:afterAutospacing="0"/>
        <w:jc w:val="both"/>
      </w:pPr>
      <w:r>
        <w:t>reparar, corrigir, remover, refazer ou substituir, às suas expensas, no total ou em parte, no prazo fixado pelo(a) fiscal do contrato, os serviços nos quais se verificarem vícios, defeitos ou incorreções resultantes da execução;</w:t>
      </w:r>
    </w:p>
    <w:p>
      <w:pPr>
        <w:pStyle w:val="28"/>
        <w:numPr>
          <w:ilvl w:val="2"/>
          <w:numId w:val="12"/>
        </w:numPr>
        <w:tabs>
          <w:tab w:val="left" w:pos="993"/>
        </w:tabs>
        <w:spacing w:before="0" w:beforeAutospacing="0" w:after="0" w:afterAutospacing="0"/>
        <w:jc w:val="both"/>
      </w:pPr>
      <w: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54"/>
        </w:rPr>
        <w:t>Código de Defesa do Consumidor (Lei Federal nº 8.078, de 1990</w:t>
      </w:r>
      <w:r>
        <w:rPr>
          <w:rStyle w:val="54"/>
        </w:rPr>
        <w:fldChar w:fldCharType="end"/>
      </w:r>
      <w: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28"/>
        <w:numPr>
          <w:ilvl w:val="2"/>
          <w:numId w:val="12"/>
        </w:numPr>
        <w:tabs>
          <w:tab w:val="left" w:pos="993"/>
        </w:tabs>
        <w:spacing w:before="0" w:beforeAutospacing="0" w:after="0" w:afterAutospacing="0"/>
        <w:jc w:val="both"/>
      </w:pPr>
      <w:r>
        <w:t>efetuar comunicação ao Contratante, assim que tiver ciência da impossibilidade de realização ou finalização do serviço no prazo estabelecido, para adoção de ações de contingência cabíveis;</w:t>
      </w:r>
    </w:p>
    <w:p>
      <w:pPr>
        <w:pStyle w:val="28"/>
        <w:numPr>
          <w:ilvl w:val="2"/>
          <w:numId w:val="12"/>
        </w:numPr>
        <w:tabs>
          <w:tab w:val="left" w:pos="993"/>
        </w:tabs>
        <w:spacing w:before="0" w:beforeAutospacing="0" w:after="0" w:afterAutospacing="0"/>
        <w:jc w:val="both"/>
      </w:pPr>
      <w: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54"/>
        </w:rPr>
        <w:instrText xml:space="preserve"> HYPERLINK "http://www.planalto.gov.br/ccivil_03/_ato2019-2022/2021/lei/L14133.htm" \l "art48"</w:instrText>
      </w:r>
      <w:r>
        <w:rPr>
          <w:rStyle w:val="54"/>
        </w:rPr>
        <w:fldChar w:fldCharType="separate"/>
      </w:r>
      <w:r>
        <w:rPr>
          <w:rStyle w:val="54"/>
        </w:rPr>
        <w:t>artigo 48, parágrafo único, da Lei Federal nº 14.133, de 2021</w:t>
      </w:r>
      <w:r>
        <w:rPr>
          <w:rStyle w:val="54"/>
        </w:rPr>
        <w:fldChar w:fldCharType="end"/>
      </w:r>
      <w:r>
        <w:t>;</w:t>
      </w:r>
    </w:p>
    <w:p>
      <w:pPr>
        <w:pStyle w:val="28"/>
        <w:numPr>
          <w:ilvl w:val="2"/>
          <w:numId w:val="12"/>
        </w:numPr>
        <w:tabs>
          <w:tab w:val="left" w:pos="993"/>
        </w:tabs>
        <w:spacing w:before="0" w:beforeAutospacing="0" w:after="0" w:afterAutospacing="0"/>
        <w:jc w:val="both"/>
      </w:pPr>
      <w:r>
        <w:t xml:space="preserve">manter durante toda a vigência do contrato, em compatibilidade com as obrigações assumidas, todas as condições exigidas para habilitação na licitação, em especial a documentação exigida na habilitação técnica; </w:t>
      </w:r>
    </w:p>
    <w:p>
      <w:pPr>
        <w:pStyle w:val="28"/>
        <w:numPr>
          <w:ilvl w:val="2"/>
          <w:numId w:val="12"/>
        </w:numPr>
        <w:tabs>
          <w:tab w:val="left" w:pos="993"/>
        </w:tabs>
        <w:spacing w:before="0" w:beforeAutospacing="0" w:after="0" w:afterAutospacing="0"/>
        <w:jc w:val="both"/>
      </w:pPr>
      <w: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28"/>
        <w:numPr>
          <w:ilvl w:val="2"/>
          <w:numId w:val="12"/>
        </w:numPr>
        <w:tabs>
          <w:tab w:val="left" w:pos="993"/>
        </w:tabs>
        <w:spacing w:before="0" w:beforeAutospacing="0" w:after="0" w:afterAutospacing="0"/>
        <w:jc w:val="both"/>
      </w:pPr>
      <w:r>
        <w:t>comunicar ao(à) fiscal do contrato, no prazo de até 1 (um) dia útil, qualquer ocorrência anormal ou acidente que se verifique no local da execução do objeto contratual;</w:t>
      </w:r>
    </w:p>
    <w:p>
      <w:pPr>
        <w:pStyle w:val="28"/>
        <w:numPr>
          <w:ilvl w:val="2"/>
          <w:numId w:val="12"/>
        </w:numPr>
        <w:tabs>
          <w:tab w:val="left" w:pos="993"/>
        </w:tabs>
        <w:spacing w:before="0" w:beforeAutospacing="0" w:after="0" w:afterAutospacing="0"/>
        <w:jc w:val="both"/>
      </w:pPr>
      <w:r>
        <w:t>prestar todo esclarecimento ou informação solicitada pelo Contratante, garantindo-lhe o acesso, a qualquer tempo, ao local dos trabalhos, bem como aos documentos relativos à execução do(s) serviço(s);</w:t>
      </w:r>
    </w:p>
    <w:p>
      <w:pPr>
        <w:pStyle w:val="28"/>
        <w:numPr>
          <w:ilvl w:val="2"/>
          <w:numId w:val="12"/>
        </w:numPr>
        <w:tabs>
          <w:tab w:val="left" w:pos="993"/>
        </w:tabs>
        <w:spacing w:before="0" w:beforeAutospacing="0" w:after="0" w:afterAutospacing="0"/>
        <w:jc w:val="both"/>
      </w:pPr>
      <w:r>
        <w:t>paralisar, por determinação do Contratante, qualquer atividade que não esteja sendo executada de acordo com a boa técnica ou que ponha em risco a segurança de pessoas ou bens de terceiros;</w:t>
      </w:r>
    </w:p>
    <w:p>
      <w:pPr>
        <w:pStyle w:val="28"/>
        <w:numPr>
          <w:ilvl w:val="2"/>
          <w:numId w:val="12"/>
        </w:numPr>
        <w:tabs>
          <w:tab w:val="left" w:pos="993"/>
        </w:tabs>
        <w:spacing w:before="0" w:beforeAutospacing="0" w:after="0" w:afterAutospacing="0"/>
        <w:jc w:val="both"/>
      </w:pPr>
      <w:r>
        <w:t>promover a guarda, manutenção e vigilância de materiais, ferramentas, e tudo o que for necessário à execução do objeto, durante a vigência do contrato;</w:t>
      </w:r>
    </w:p>
    <w:p>
      <w:pPr>
        <w:pStyle w:val="28"/>
        <w:numPr>
          <w:ilvl w:val="2"/>
          <w:numId w:val="12"/>
        </w:numPr>
        <w:tabs>
          <w:tab w:val="left" w:pos="993"/>
        </w:tabs>
        <w:spacing w:before="0" w:beforeAutospacing="0" w:after="0" w:afterAutospacing="0"/>
        <w:jc w:val="both"/>
      </w:pPr>
      <w:r>
        <w:t>submeter previamente, por escrito, ao Contratante, para análise e aprovação, quaisquer mudanças nos métodos executivos que fujam às especificações do memorial descritivo ou instrumento congênere;</w:t>
      </w:r>
    </w:p>
    <w:p>
      <w:pPr>
        <w:pStyle w:val="28"/>
        <w:numPr>
          <w:ilvl w:val="2"/>
          <w:numId w:val="12"/>
        </w:numPr>
        <w:tabs>
          <w:tab w:val="left" w:pos="993"/>
        </w:tabs>
        <w:spacing w:before="0" w:beforeAutospacing="0" w:after="0" w:afterAutospacing="0"/>
        <w:jc w:val="both"/>
      </w:pPr>
      <w: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28"/>
        <w:numPr>
          <w:ilvl w:val="2"/>
          <w:numId w:val="12"/>
        </w:numPr>
        <w:tabs>
          <w:tab w:val="left" w:pos="993"/>
        </w:tabs>
        <w:spacing w:before="0" w:beforeAutospacing="0" w:after="0" w:afterAutospacing="0"/>
        <w:jc w:val="both"/>
      </w:pPr>
      <w:r>
        <w:t xml:space="preserve">cumprir, durante todo o período de execução do contrato, a reserva de cargos prevista no </w:t>
      </w:r>
      <w:r>
        <w:fldChar w:fldCharType="begin"/>
      </w:r>
      <w:r>
        <w:rPr>
          <w:rStyle w:val="54"/>
        </w:rPr>
        <w:instrText xml:space="preserve"> HYPERLINK "https://www.planalto.gov.br/ccivil_03/leis/l8213cons.htm" \l "art93"</w:instrText>
      </w:r>
      <w:r>
        <w:rPr>
          <w:rStyle w:val="54"/>
        </w:rPr>
        <w:fldChar w:fldCharType="separate"/>
      </w:r>
      <w:r>
        <w:rPr>
          <w:rStyle w:val="54"/>
        </w:rPr>
        <w:t>art. 93, da Lei Federal nº 8.213, de 1991</w:t>
      </w:r>
      <w:r>
        <w:rPr>
          <w:rStyle w:val="54"/>
        </w:rPr>
        <w:fldChar w:fldCharType="end"/>
      </w:r>
      <w:r>
        <w:t>, para pessoa com deficiência, para reabilitado da Previdência Social e para aprendiz, bem como as reservas de cargos previstas na legislação (</w:t>
      </w:r>
      <w:r>
        <w:fldChar w:fldCharType="begin"/>
      </w:r>
      <w:r>
        <w:rPr>
          <w:rStyle w:val="54"/>
        </w:rPr>
        <w:instrText xml:space="preserve"> HYPERLINK "http://www.planalto.gov.br/ccivil_03/_ato2019-2022/2021/lei/L14133.htm" \l "art116"</w:instrText>
      </w:r>
      <w:r>
        <w:rPr>
          <w:rStyle w:val="54"/>
        </w:rPr>
        <w:fldChar w:fldCharType="separate"/>
      </w:r>
      <w:r>
        <w:rPr>
          <w:rStyle w:val="54"/>
        </w:rPr>
        <w:t>art. 116</w:t>
      </w:r>
      <w:r>
        <w:rPr>
          <w:rStyle w:val="54"/>
        </w:rPr>
        <w:fldChar w:fldCharType="end"/>
      </w:r>
      <w:r>
        <w:rPr>
          <w:rStyle w:val="54"/>
        </w:rPr>
        <w:t xml:space="preserve"> da Lei Federal nº 14.133, de 2021</w:t>
      </w:r>
      <w:r>
        <w:t>), comprovando o cumprimento da legislação, no prazo fixado pelo(a) fiscal do contrato, com a indicação dos empregados que preencheram as referidas vagas e mantendo durante todo o período de contratação as cotas exigidas por Lei;</w:t>
      </w:r>
    </w:p>
    <w:p>
      <w:pPr>
        <w:pStyle w:val="28"/>
        <w:numPr>
          <w:ilvl w:val="2"/>
          <w:numId w:val="12"/>
        </w:numPr>
        <w:tabs>
          <w:tab w:val="left" w:pos="993"/>
        </w:tabs>
        <w:spacing w:before="0" w:beforeAutospacing="0" w:after="0" w:afterAutospacing="0"/>
        <w:jc w:val="both"/>
      </w:pPr>
      <w:r>
        <w:t>guardar sigilo sobre todas as informações obtidas em decorrência do cumprimento do contrato;</w:t>
      </w:r>
    </w:p>
    <w:p>
      <w:pPr>
        <w:pStyle w:val="28"/>
        <w:numPr>
          <w:ilvl w:val="2"/>
          <w:numId w:val="12"/>
        </w:numPr>
        <w:tabs>
          <w:tab w:val="left" w:pos="993"/>
        </w:tabs>
        <w:spacing w:before="0" w:beforeAutospacing="0" w:after="0" w:afterAutospacing="0"/>
        <w:jc w:val="both"/>
      </w:pPr>
      <w: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54"/>
        </w:rPr>
        <w:instrText xml:space="preserve"> HYPERLINK "http://www.planalto.gov.br/ccivil_03/_ato2019-2022/2021/lei/L14133.htm" \l "art124"</w:instrText>
      </w:r>
      <w:r>
        <w:rPr>
          <w:rStyle w:val="54"/>
        </w:rPr>
        <w:fldChar w:fldCharType="separate"/>
      </w:r>
      <w:r>
        <w:rPr>
          <w:rStyle w:val="54"/>
        </w:rPr>
        <w:t>art. 124, II, d, da Lei Federal nº 14.133, de 2021</w:t>
      </w:r>
      <w:r>
        <w:rPr>
          <w:rStyle w:val="54"/>
        </w:rPr>
        <w:fldChar w:fldCharType="end"/>
      </w:r>
      <w:r>
        <w:t>;</w:t>
      </w:r>
    </w:p>
    <w:p>
      <w:pPr>
        <w:pStyle w:val="28"/>
        <w:numPr>
          <w:ilvl w:val="2"/>
          <w:numId w:val="12"/>
        </w:numPr>
        <w:tabs>
          <w:tab w:val="left" w:pos="993"/>
        </w:tabs>
        <w:spacing w:before="0" w:beforeAutospacing="0" w:after="0" w:afterAutospacing="0"/>
        <w:jc w:val="both"/>
      </w:pPr>
      <w:r>
        <w:t>cumprir, além dos postulados legais vigentes de âmbito federal, estadual ou municipal, as normas de segurança do Contratante, além das recomendações do(a) fiscal de contrato;</w:t>
      </w:r>
    </w:p>
    <w:p>
      <w:pPr>
        <w:pStyle w:val="28"/>
        <w:numPr>
          <w:ilvl w:val="2"/>
          <w:numId w:val="12"/>
        </w:numPr>
        <w:tabs>
          <w:tab w:val="left" w:pos="993"/>
        </w:tabs>
        <w:spacing w:before="0" w:beforeAutospacing="0" w:after="0" w:afterAutospacing="0"/>
        <w:jc w:val="both"/>
      </w:pPr>
      <w:r>
        <w:t>apresentar ao Contratante, quando for o caso, a relação nominal dos empregados que atuarão na execução do serviço;</w:t>
      </w:r>
    </w:p>
    <w:p>
      <w:pPr>
        <w:pStyle w:val="28"/>
        <w:numPr>
          <w:ilvl w:val="2"/>
          <w:numId w:val="12"/>
        </w:numPr>
        <w:tabs>
          <w:tab w:val="left" w:pos="993"/>
        </w:tabs>
        <w:spacing w:before="0" w:beforeAutospacing="0" w:after="0" w:afterAutospacing="0"/>
        <w:jc w:val="both"/>
      </w:pPr>
      <w: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28"/>
        <w:numPr>
          <w:ilvl w:val="2"/>
          <w:numId w:val="12"/>
        </w:numPr>
        <w:tabs>
          <w:tab w:val="left" w:pos="993"/>
        </w:tabs>
        <w:spacing w:before="0" w:beforeAutospacing="0" w:after="0" w:afterAutospacing="0"/>
        <w:jc w:val="both"/>
      </w:pPr>
      <w:r>
        <w:t>obter junto aos órgãos competentes, conforme o caso, as licenças necessárias e demais documentos e autorizações exigíveis, na forma da legislação aplicável;</w:t>
      </w:r>
    </w:p>
    <w:p>
      <w:pPr>
        <w:pStyle w:val="28"/>
        <w:numPr>
          <w:ilvl w:val="2"/>
          <w:numId w:val="12"/>
        </w:numPr>
        <w:tabs>
          <w:tab w:val="left" w:pos="993"/>
        </w:tabs>
        <w:spacing w:before="0" w:beforeAutospacing="0" w:after="0" w:afterAutospacing="0"/>
        <w:jc w:val="both"/>
        <w:rPr>
          <w:color w:val="000000"/>
        </w:rPr>
      </w:pPr>
      <w:r>
        <w:t>atender</w:t>
      </w:r>
      <w:r>
        <w:rPr>
          <w:color w:val="000000"/>
        </w:rPr>
        <w:t xml:space="preserve"> às determinações regulares emitidas pelo(a) fiscal ou gestor(a) do contrato ou autoridade superior (</w:t>
      </w:r>
      <w:r>
        <w:fldChar w:fldCharType="begin"/>
      </w:r>
      <w:r>
        <w:rPr>
          <w:rStyle w:val="54"/>
        </w:rPr>
        <w:instrText xml:space="preserve"> HYPERLINK "https://www.planalto.gov.br/ccivil_03/_ato2019-2022/2021/lei/l14133.htm" \l "art137"</w:instrText>
      </w:r>
      <w:r>
        <w:rPr>
          <w:rStyle w:val="54"/>
        </w:rPr>
        <w:fldChar w:fldCharType="separate"/>
      </w:r>
      <w:r>
        <w:rPr>
          <w:rStyle w:val="54"/>
        </w:rPr>
        <w:t>art. 137, II, da Lei Federal nº 14.133, de 2021</w:t>
      </w:r>
      <w:r>
        <w:rPr>
          <w:rStyle w:val="54"/>
        </w:rPr>
        <w:fldChar w:fldCharType="end"/>
      </w:r>
      <w:r>
        <w:rPr>
          <w:color w:val="000000"/>
        </w:rPr>
        <w:t>) e prestar todo esclarecimento ou informação por eles solicitados;</w:t>
      </w:r>
    </w:p>
    <w:p>
      <w:pPr>
        <w:pStyle w:val="28"/>
        <w:numPr>
          <w:ilvl w:val="2"/>
          <w:numId w:val="12"/>
        </w:numPr>
        <w:tabs>
          <w:tab w:val="left" w:pos="993"/>
        </w:tabs>
        <w:spacing w:before="0" w:beforeAutospacing="0" w:after="0" w:afterAutospacing="0"/>
        <w:jc w:val="both"/>
      </w:pPr>
      <w: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28"/>
        <w:numPr>
          <w:ilvl w:val="2"/>
          <w:numId w:val="12"/>
        </w:numPr>
        <w:tabs>
          <w:tab w:val="left" w:pos="993"/>
        </w:tabs>
        <w:spacing w:before="0" w:beforeAutospacing="0" w:after="0" w:afterAutospacing="0"/>
        <w:jc w:val="both"/>
      </w:pPr>
      <w:r>
        <w:t>entregar, junto com a Nota Fiscal, as certidões que comprovem a regularidade perante a Fazenda estadual e municipal do domicílio ou sede da Contratada, além das certidões federais que não estejam sendo emitidas pela rede mundial de computadores;</w:t>
      </w:r>
    </w:p>
    <w:p>
      <w:pPr>
        <w:pStyle w:val="28"/>
        <w:numPr>
          <w:ilvl w:val="2"/>
          <w:numId w:val="12"/>
        </w:numPr>
        <w:tabs>
          <w:tab w:val="left" w:pos="993"/>
        </w:tabs>
        <w:spacing w:before="0" w:beforeAutospacing="0" w:after="0" w:afterAutospacing="0"/>
        <w:jc w:val="both"/>
      </w:pPr>
      <w: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28"/>
        <w:numPr>
          <w:ilvl w:val="2"/>
          <w:numId w:val="12"/>
        </w:numPr>
        <w:tabs>
          <w:tab w:val="left" w:pos="993"/>
        </w:tabs>
        <w:spacing w:before="0" w:beforeAutospacing="0" w:after="0" w:afterAutospacing="0"/>
        <w:jc w:val="both"/>
      </w:pPr>
      <w:r>
        <w:t>paralisar, por determinação do Contratante, qualquer atividade que não esteja sendo executada de acordo com a boa técnica ou que ponha em risco a segurança de pessoas ou bens de terceiros;</w:t>
      </w:r>
    </w:p>
    <w:p>
      <w:pPr>
        <w:pStyle w:val="28"/>
        <w:numPr>
          <w:ilvl w:val="2"/>
          <w:numId w:val="12"/>
        </w:numPr>
        <w:tabs>
          <w:tab w:val="left" w:pos="993"/>
        </w:tabs>
        <w:spacing w:before="0" w:beforeAutospacing="0" w:after="0" w:afterAutospacing="0"/>
        <w:jc w:val="both"/>
      </w:pPr>
      <w:r>
        <w:t xml:space="preserve">manter durante toda a vigência do contrato, em compatibilidade com as obrigações assumidas, todas as condições exigidas para habilitação na licitação; </w:t>
      </w:r>
    </w:p>
    <w:p>
      <w:pPr>
        <w:pStyle w:val="28"/>
        <w:numPr>
          <w:ilvl w:val="2"/>
          <w:numId w:val="12"/>
        </w:numPr>
        <w:tabs>
          <w:tab w:val="left" w:pos="993"/>
        </w:tabs>
        <w:spacing w:before="0" w:beforeAutospacing="0" w:after="0" w:afterAutospacing="0"/>
        <w:jc w:val="both"/>
      </w:pPr>
      <w:r>
        <w:t xml:space="preserve">guardar sigilo sobre todas as informações obtidas em decorrência do cumprimento do contrato; </w:t>
      </w:r>
    </w:p>
    <w:p>
      <w:pPr>
        <w:pStyle w:val="28"/>
        <w:numPr>
          <w:ilvl w:val="2"/>
          <w:numId w:val="12"/>
        </w:numPr>
        <w:tabs>
          <w:tab w:val="left" w:pos="993"/>
        </w:tabs>
        <w:spacing w:before="0" w:beforeAutospacing="0" w:after="0" w:afterAutospacing="0"/>
        <w:jc w:val="both"/>
        <w:rPr>
          <w:color w:val="000000"/>
        </w:rPr>
      </w:pPr>
      <w:bookmarkStart w:id="77" w:name="_Ref118293001"/>
      <w:r>
        <w:rPr>
          <w:color w:val="00000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7"/>
    </w:p>
    <w:p>
      <w:pPr>
        <w:pStyle w:val="28"/>
        <w:numPr>
          <w:ilvl w:val="2"/>
          <w:numId w:val="12"/>
        </w:numPr>
        <w:tabs>
          <w:tab w:val="left" w:pos="993"/>
        </w:tabs>
        <w:spacing w:before="0" w:beforeAutospacing="0" w:after="0" w:afterAutospacing="0"/>
        <w:jc w:val="both"/>
        <w:rPr>
          <w:color w:val="000000"/>
        </w:rPr>
      </w:pPr>
      <w:r>
        <w:rPr>
          <w:color w:val="000000"/>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color w:val="000000"/>
        </w:rPr>
        <w:t>, adotando medidas eficazes para proteção de dados pessoais a que tenha acesso por força da execução deste contrato;</w:t>
      </w:r>
    </w:p>
    <w:p>
      <w:pPr>
        <w:pStyle w:val="28"/>
        <w:numPr>
          <w:ilvl w:val="2"/>
          <w:numId w:val="12"/>
        </w:numPr>
        <w:tabs>
          <w:tab w:val="left" w:pos="993"/>
        </w:tabs>
        <w:spacing w:before="0" w:beforeAutospacing="0" w:after="0" w:afterAutospacing="0"/>
        <w:jc w:val="both"/>
        <w:rPr>
          <w:color w:val="000000"/>
        </w:rPr>
      </w:pPr>
      <w:r>
        <w:rPr>
          <w:color w:val="000000"/>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28"/>
        <w:numPr>
          <w:ilvl w:val="2"/>
          <w:numId w:val="12"/>
        </w:numPr>
        <w:tabs>
          <w:tab w:val="left" w:pos="993"/>
        </w:tabs>
        <w:spacing w:before="0" w:beforeAutospacing="0" w:after="0" w:afterAutospacing="0"/>
        <w:jc w:val="both"/>
        <w:rPr>
          <w:color w:val="000000"/>
        </w:rPr>
      </w:pPr>
      <w:r>
        <w:rPr>
          <w:color w:val="000000"/>
        </w:rPr>
        <w:t>submeter previamente, por escrito, ao Contratante, para análise e aprovação, quaisquer mudanças nos métodos executivos que fujam às especificações do memorial descritivo ou instrumento congênere;</w:t>
      </w:r>
    </w:p>
    <w:p>
      <w:pPr>
        <w:pStyle w:val="28"/>
        <w:numPr>
          <w:ilvl w:val="2"/>
          <w:numId w:val="12"/>
        </w:numPr>
        <w:tabs>
          <w:tab w:val="left" w:pos="993"/>
        </w:tabs>
        <w:spacing w:before="0" w:beforeAutospacing="0" w:after="0" w:afterAutospacing="0"/>
        <w:jc w:val="both"/>
        <w:rPr>
          <w:color w:val="000000"/>
        </w:rPr>
      </w:pPr>
      <w:r>
        <w:rPr>
          <w:color w:val="000000"/>
        </w:rPr>
        <w:t>executar os serviços objeto desta contratação com presteza e rapidez, conforme as necessidades do Contratante;</w:t>
      </w:r>
    </w:p>
    <w:p>
      <w:pPr>
        <w:pStyle w:val="28"/>
        <w:numPr>
          <w:ilvl w:val="2"/>
          <w:numId w:val="12"/>
        </w:numPr>
        <w:tabs>
          <w:tab w:val="left" w:pos="993"/>
        </w:tabs>
        <w:spacing w:before="0" w:beforeAutospacing="0" w:after="0" w:afterAutospacing="0"/>
        <w:jc w:val="both"/>
        <w:rPr>
          <w:color w:val="000000"/>
        </w:rPr>
      </w:pPr>
      <w:r>
        <w:rPr>
          <w:color w:val="000000"/>
        </w:rPr>
        <w:t>não transferir a outrem, no todo ou em parte, o objeto do contrato a ser firmado, sem prévia anuência do Contratante;</w:t>
      </w:r>
    </w:p>
    <w:p>
      <w:pPr>
        <w:pStyle w:val="28"/>
        <w:numPr>
          <w:ilvl w:val="2"/>
          <w:numId w:val="12"/>
        </w:numPr>
        <w:tabs>
          <w:tab w:val="left" w:pos="993"/>
        </w:tabs>
        <w:spacing w:before="0" w:beforeAutospacing="0" w:after="0" w:afterAutospacing="0"/>
        <w:jc w:val="both"/>
        <w:rPr>
          <w:color w:val="000000"/>
        </w:rPr>
      </w:pPr>
      <w:r>
        <w:rPr>
          <w:color w:val="000000"/>
        </w:rPr>
        <w:t>não caucionar nem utilizar o contrato a ser firmado para qualquer operação financeira, sem prévia e expressa anuência da administração deste Regional;</w:t>
      </w:r>
    </w:p>
    <w:p>
      <w:pPr>
        <w:pStyle w:val="28"/>
        <w:numPr>
          <w:ilvl w:val="2"/>
          <w:numId w:val="12"/>
        </w:numPr>
        <w:tabs>
          <w:tab w:val="left" w:pos="993"/>
        </w:tabs>
        <w:spacing w:before="0" w:beforeAutospacing="0" w:after="0" w:afterAutospacing="0"/>
        <w:jc w:val="both"/>
        <w:rPr>
          <w:color w:val="000000"/>
        </w:rPr>
      </w:pPr>
      <w:r>
        <w:rPr>
          <w:color w:val="000000"/>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28"/>
        <w:numPr>
          <w:ilvl w:val="2"/>
          <w:numId w:val="12"/>
        </w:numPr>
        <w:tabs>
          <w:tab w:val="left" w:pos="993"/>
        </w:tabs>
        <w:spacing w:before="0" w:beforeAutospacing="0" w:after="0" w:afterAutospacing="0"/>
        <w:jc w:val="both"/>
        <w:rPr>
          <w:color w:val="000000"/>
        </w:rPr>
      </w:pPr>
      <w:r>
        <w:rPr>
          <w:color w:val="000000"/>
        </w:rPr>
        <w:t>recolher, no prazo estabelecido, valores referentes a penalidades de multa aplicadas, em procedimento administrativo, decorrentes de descumprimento de obrigações contratuais;</w:t>
      </w:r>
    </w:p>
    <w:p>
      <w:pPr>
        <w:pStyle w:val="28"/>
        <w:numPr>
          <w:ilvl w:val="2"/>
          <w:numId w:val="12"/>
        </w:numPr>
        <w:tabs>
          <w:tab w:val="left" w:pos="993"/>
        </w:tabs>
        <w:spacing w:before="0" w:beforeAutospacing="0" w:after="0" w:afterAutospacing="0"/>
        <w:jc w:val="both"/>
        <w:rPr>
          <w:color w:val="000000"/>
        </w:rPr>
      </w:pPr>
      <w:r>
        <w:rPr>
          <w:color w:val="000000"/>
        </w:rPr>
        <w:t>acatar a fiscalização, a orientação e o gerenciamento dos trabalhos por parte do(a) gestor(a) e/ou do fiscal do contrato designado pela Administração.</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rStyle w:val="11"/>
          <w:color w:val="000000"/>
        </w:rPr>
      </w:pPr>
      <w:r>
        <w:rPr>
          <w:rStyle w:val="11"/>
          <w:color w:val="000000"/>
        </w:rPr>
        <w:t xml:space="preserve">OBRIGAÇÕES PERTINENTES À LGPD </w:t>
      </w:r>
      <w:r>
        <w:rPr>
          <w:rStyle w:val="11"/>
          <w:b w:val="0"/>
          <w:bCs w:val="0"/>
          <w:color w:val="000000"/>
        </w:rPr>
        <w:t>(</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rPr>
          <w:rStyle w:val="11"/>
          <w:b w:val="0"/>
          <w:bCs w:val="0"/>
          <w:color w:val="000000"/>
        </w:rPr>
        <w:t>)</w:t>
      </w:r>
    </w:p>
    <w:p>
      <w:pPr>
        <w:pStyle w:val="28"/>
        <w:numPr>
          <w:ilvl w:val="1"/>
          <w:numId w:val="12"/>
        </w:numPr>
        <w:tabs>
          <w:tab w:val="left" w:pos="993"/>
        </w:tabs>
        <w:spacing w:before="0" w:beforeAutospacing="0" w:after="0" w:afterAutospacing="0"/>
        <w:ind w:left="0" w:firstLine="567"/>
        <w:jc w:val="both"/>
      </w:pPr>
      <w:r>
        <w:t xml:space="preserve">As partes deverão cumprir a </w:t>
      </w:r>
      <w:r>
        <w:fldChar w:fldCharType="begin"/>
      </w:r>
      <w:r>
        <w:instrText xml:space="preserve"> HYPERLINK "https://www.planalto.gov.br/ccivil_03/_ato2015-2018/2018/lei/l13709.htm" \h </w:instrText>
      </w:r>
      <w:r>
        <w:fldChar w:fldCharType="separate"/>
      </w:r>
      <w:r>
        <w:rPr>
          <w:rStyle w:val="54"/>
        </w:rPr>
        <w:t>Lei Federal nº 13.709, de 2018 (LGPD)</w:t>
      </w:r>
      <w:r>
        <w:rPr>
          <w:rStyle w:val="54"/>
        </w:rPr>
        <w:fldChar w:fldCharType="end"/>
      </w:r>
      <w: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28"/>
        <w:numPr>
          <w:ilvl w:val="1"/>
          <w:numId w:val="12"/>
        </w:numPr>
        <w:tabs>
          <w:tab w:val="left" w:pos="993"/>
        </w:tabs>
        <w:spacing w:before="0" w:beforeAutospacing="0" w:after="0" w:afterAutospacing="0"/>
        <w:ind w:left="0" w:firstLine="567"/>
        <w:jc w:val="both"/>
      </w:pPr>
      <w:r>
        <w:t xml:space="preserve">Os dados obtidos somente poderão ser utilizados para as finalidades que justificaram seu acesso e de acordo com a boa-fé e com os princípios do </w:t>
      </w:r>
      <w:r>
        <w:fldChar w:fldCharType="begin"/>
      </w:r>
      <w:r>
        <w:rPr>
          <w:rStyle w:val="54"/>
        </w:rPr>
        <w:instrText xml:space="preserve"> HYPERLINK "https://www.planalto.gov.br/ccivil_03/_ato2015-2018/2018/lei/l13709.htm" \l "art6"</w:instrText>
      </w:r>
      <w:r>
        <w:rPr>
          <w:rStyle w:val="54"/>
        </w:rPr>
        <w:fldChar w:fldCharType="separate"/>
      </w:r>
      <w:r>
        <w:rPr>
          <w:rStyle w:val="54"/>
        </w:rPr>
        <w:t>art. 6º da Lei Federal nº 13.709, de 2018</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É vedado o compartilhamento com terceiros dos dados obtidos fora das hipóteses permitidas em Lei.</w:t>
      </w:r>
    </w:p>
    <w:p>
      <w:pPr>
        <w:pStyle w:val="28"/>
        <w:numPr>
          <w:ilvl w:val="1"/>
          <w:numId w:val="12"/>
        </w:numPr>
        <w:tabs>
          <w:tab w:val="left" w:pos="993"/>
        </w:tabs>
        <w:spacing w:before="0" w:beforeAutospacing="0" w:after="0" w:afterAutospacing="0"/>
        <w:ind w:left="0" w:firstLine="567"/>
        <w:jc w:val="both"/>
      </w:pPr>
      <w:r>
        <w:t xml:space="preserve">A Administração deverá ser informada no prazo de 5 (cinco) dias úteis sobre todos os contratos de suboperação firmados ou que venham a ser celebrados pela Contratada. </w:t>
      </w:r>
    </w:p>
    <w:p>
      <w:pPr>
        <w:pStyle w:val="28"/>
        <w:numPr>
          <w:ilvl w:val="1"/>
          <w:numId w:val="12"/>
        </w:numPr>
        <w:tabs>
          <w:tab w:val="left" w:pos="993"/>
        </w:tabs>
        <w:spacing w:before="0" w:beforeAutospacing="0" w:after="0" w:afterAutospacing="0"/>
        <w:ind w:left="0" w:firstLine="567"/>
        <w:jc w:val="both"/>
      </w:pPr>
      <w:r>
        <w:t xml:space="preserve">Terminado o tratamento dos dados nos termos do </w:t>
      </w:r>
      <w:r>
        <w:fldChar w:fldCharType="begin"/>
      </w:r>
      <w:r>
        <w:rPr>
          <w:rStyle w:val="54"/>
        </w:rPr>
        <w:instrText xml:space="preserve"> HYPERLINK "https://www.planalto.gov.br/ccivil_03/_ato2015-2018/2018/lei/l13709.htm" \l "art15"</w:instrText>
      </w:r>
      <w:r>
        <w:rPr>
          <w:rStyle w:val="54"/>
        </w:rPr>
        <w:fldChar w:fldCharType="separate"/>
      </w:r>
      <w:r>
        <w:rPr>
          <w:rStyle w:val="54"/>
        </w:rPr>
        <w:t>art. 15 da Lei Federal nº 13.709, de 2018</w:t>
      </w:r>
      <w:r>
        <w:rPr>
          <w:rStyle w:val="54"/>
        </w:rPr>
        <w:fldChar w:fldCharType="end"/>
      </w:r>
      <w:r>
        <w:t xml:space="preserve">, é dever da Contratada eliminá-los, com exceção das hipóteses do </w:t>
      </w:r>
      <w:r>
        <w:fldChar w:fldCharType="begin"/>
      </w:r>
      <w:r>
        <w:rPr>
          <w:rStyle w:val="54"/>
        </w:rPr>
        <w:instrText xml:space="preserve"> HYPERLINK "https://www.planalto.gov.br/ccivil_03/_ato2015-2018/2018/lei/l13709.htm" \l "art16"</w:instrText>
      </w:r>
      <w:r>
        <w:rPr>
          <w:rStyle w:val="54"/>
        </w:rPr>
        <w:fldChar w:fldCharType="separate"/>
      </w:r>
      <w:r>
        <w:rPr>
          <w:rStyle w:val="54"/>
        </w:rPr>
        <w:t>art. 16 da Lei Federal nº 13.709, de 2018</w:t>
      </w:r>
      <w:r>
        <w:rPr>
          <w:rStyle w:val="54"/>
        </w:rPr>
        <w:fldChar w:fldCharType="end"/>
      </w:r>
      <w:r>
        <w:t xml:space="preserve">, incluindo aquelas em que houver necessidade de guarda de documentação para fins de comprovação do cumprimento de obrigações legais ou contratuais e somente enquanto não prescritas essas obrigações. </w:t>
      </w:r>
    </w:p>
    <w:p>
      <w:pPr>
        <w:pStyle w:val="28"/>
        <w:numPr>
          <w:ilvl w:val="1"/>
          <w:numId w:val="12"/>
        </w:numPr>
        <w:tabs>
          <w:tab w:val="left" w:pos="993"/>
        </w:tabs>
        <w:spacing w:before="0" w:beforeAutospacing="0" w:after="0" w:afterAutospacing="0"/>
        <w:ind w:left="0" w:firstLine="567"/>
        <w:jc w:val="both"/>
      </w:pPr>
      <w: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t xml:space="preserve">. </w:t>
      </w:r>
    </w:p>
    <w:p>
      <w:pPr>
        <w:pStyle w:val="28"/>
        <w:numPr>
          <w:ilvl w:val="1"/>
          <w:numId w:val="12"/>
        </w:numPr>
        <w:tabs>
          <w:tab w:val="left" w:pos="993"/>
        </w:tabs>
        <w:spacing w:before="0" w:beforeAutospacing="0" w:after="0" w:afterAutospacing="0"/>
        <w:ind w:left="0" w:firstLine="567"/>
        <w:jc w:val="both"/>
      </w:pPr>
      <w:r>
        <w:t>A Contratada deverá exigir de suboperadores e subcontratadas o cumprimento dos deveres da presente cláusula, permanecendo integralmente responsável por garantir sua observância.</w:t>
      </w:r>
    </w:p>
    <w:p>
      <w:pPr>
        <w:pStyle w:val="28"/>
        <w:numPr>
          <w:ilvl w:val="1"/>
          <w:numId w:val="12"/>
        </w:numPr>
        <w:tabs>
          <w:tab w:val="left" w:pos="993"/>
        </w:tabs>
        <w:spacing w:before="0" w:beforeAutospacing="0" w:after="0" w:afterAutospacing="0"/>
        <w:ind w:left="0" w:firstLine="567"/>
        <w:jc w:val="both"/>
      </w:pPr>
      <w:r>
        <w:t xml:space="preserve">O Contratante poderá realizar diligência para aferir o cumprimento dessa cláusula, devendo a Contratada atender prontamente eventuais pedidos de comprovação formulados. </w:t>
      </w:r>
    </w:p>
    <w:p>
      <w:pPr>
        <w:pStyle w:val="28"/>
        <w:numPr>
          <w:ilvl w:val="1"/>
          <w:numId w:val="12"/>
        </w:numPr>
        <w:tabs>
          <w:tab w:val="left" w:pos="993"/>
        </w:tabs>
        <w:spacing w:before="0" w:beforeAutospacing="0" w:after="0" w:afterAutospacing="0"/>
        <w:ind w:left="0" w:firstLine="567"/>
        <w:jc w:val="both"/>
      </w:pPr>
      <w: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t xml:space="preserve">, inclusive quanto a eventual descarte realizado. </w:t>
      </w:r>
    </w:p>
    <w:p>
      <w:pPr>
        <w:pStyle w:val="28"/>
        <w:numPr>
          <w:ilvl w:val="1"/>
          <w:numId w:val="12"/>
        </w:numPr>
        <w:tabs>
          <w:tab w:val="left" w:pos="993"/>
        </w:tabs>
        <w:spacing w:before="0" w:beforeAutospacing="0" w:after="0" w:afterAutospacing="0"/>
        <w:ind w:left="0" w:firstLine="567"/>
        <w:jc w:val="both"/>
      </w:pPr>
      <w: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54"/>
        </w:rPr>
        <w:t>art. 37 da Lei Federal nº 13.709, de 2018</w:t>
      </w:r>
      <w:r>
        <w:rPr>
          <w:rStyle w:val="54"/>
        </w:rPr>
        <w:fldChar w:fldCharType="end"/>
      </w:r>
      <w:r>
        <w:t>), com cada acesso, data, horário e registro da finalidade, para efeito de responsabilização, em caso de eventuais omissões, desvios ou abusos.</w:t>
      </w:r>
    </w:p>
    <w:p>
      <w:pPr>
        <w:pStyle w:val="28"/>
        <w:numPr>
          <w:ilvl w:val="1"/>
          <w:numId w:val="12"/>
        </w:numPr>
        <w:tabs>
          <w:tab w:val="left" w:pos="993"/>
        </w:tabs>
        <w:spacing w:before="0" w:beforeAutospacing="0" w:after="0" w:afterAutospacing="0"/>
        <w:ind w:left="0" w:firstLine="567"/>
        <w:jc w:val="both"/>
      </w:pPr>
      <w: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54"/>
        </w:rPr>
        <w:t>Lei Federal nº 13.709, de 2018</w:t>
      </w:r>
      <w:r>
        <w:rPr>
          <w:rStyle w:val="54"/>
        </w:rPr>
        <w:fldChar w:fldCharType="end"/>
      </w:r>
      <w:r>
        <w:t>.</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rStyle w:val="11"/>
          <w:b w:val="0"/>
          <w:bCs w:val="0"/>
          <w:color w:val="000000"/>
        </w:rPr>
      </w:pPr>
      <w:r>
        <w:rPr>
          <w:rStyle w:val="11"/>
          <w:color w:val="000000"/>
        </w:rPr>
        <w:t xml:space="preserve">PRAZOS </w:t>
      </w:r>
      <w:r>
        <w:rPr>
          <w:rStyle w:val="11"/>
          <w:b w:val="0"/>
          <w:bCs w:val="0"/>
          <w:color w:val="000000"/>
        </w:rPr>
        <w:t>(</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VII, da Lei Federal nº 14.133, de 2021</w:t>
      </w:r>
      <w:r>
        <w:rPr>
          <w:rStyle w:val="54"/>
        </w:rPr>
        <w:fldChar w:fldCharType="end"/>
      </w:r>
      <w:r>
        <w:rPr>
          <w:rStyle w:val="11"/>
          <w:b w:val="0"/>
          <w:bCs w:val="0"/>
          <w:color w:val="000000"/>
        </w:rP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54"/>
        </w:rPr>
        <w:t>art. 393 da Lei Federal nº 10.406, de 2002</w:t>
      </w:r>
      <w:r>
        <w:rPr>
          <w:rStyle w:val="54"/>
        </w:rPr>
        <w:fldChar w:fldCharType="end"/>
      </w:r>
      <w:r>
        <w:rPr>
          <w:color w:val="000000"/>
        </w:rPr>
        <w:t>).</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rStyle w:val="11"/>
          <w:b w:val="0"/>
          <w:bCs w:val="0"/>
          <w:color w:val="000000"/>
        </w:rPr>
      </w:pPr>
      <w:r>
        <w:rPr>
          <w:rStyle w:val="11"/>
          <w:color w:val="000000"/>
        </w:rPr>
        <w:t xml:space="preserve">RECEBIMENTO DO OBJETO </w:t>
      </w:r>
      <w:r>
        <w:rPr>
          <w:rStyle w:val="11"/>
          <w:b w:val="0"/>
          <w:bCs w:val="0"/>
          <w:color w:val="000000"/>
        </w:rPr>
        <w:t>(</w:t>
      </w:r>
      <w:r>
        <w:fldChar w:fldCharType="begin"/>
      </w:r>
      <w:r>
        <w:rPr>
          <w:rStyle w:val="54"/>
        </w:rPr>
        <w:instrText xml:space="preserve"> HYPERLINK "https://www.planalto.gov.br/ccivil_03/_ato2019-2022/2021/lei/l14133.htm" \l "art140"</w:instrText>
      </w:r>
      <w:r>
        <w:rPr>
          <w:rStyle w:val="54"/>
        </w:rPr>
        <w:fldChar w:fldCharType="separate"/>
      </w:r>
      <w:r>
        <w:rPr>
          <w:rStyle w:val="54"/>
        </w:rPr>
        <w:t>art. 140, I, da Lei Federal nº 14.133, de 2021</w:t>
      </w:r>
      <w:r>
        <w:rPr>
          <w:rStyle w:val="54"/>
        </w:rPr>
        <w:fldChar w:fldCharType="end"/>
      </w:r>
      <w:r>
        <w:rPr>
          <w:rStyle w:val="11"/>
          <w:b w:val="0"/>
          <w:bCs w:val="0"/>
          <w:color w:val="000000"/>
        </w:rP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 xml:space="preserve">A entrega do(s) serviço(s) será(ão) realizada(s) preferencialmente de forma única por etapa, de acordo com a descrição dos serviços contida no </w:t>
      </w:r>
      <w:r>
        <w:rPr>
          <w:rStyle w:val="45"/>
          <w:color w:val="000000"/>
        </w:rPr>
        <w:t>Termo de Referência</w:t>
      </w:r>
      <w:r>
        <w:rPr>
          <w:color w:val="000000"/>
        </w:rPr>
        <w:t xml:space="preserve">, acompanhada de Nota Fiscal correspondente, a qual deverá ser preenchida com as especificações apresentadas neste Instrumento de Contrato e/ou no </w:t>
      </w:r>
      <w:r>
        <w:rPr>
          <w:rStyle w:val="45"/>
          <w:color w:val="000000"/>
        </w:rPr>
        <w:t>Termo de Referência</w:t>
      </w:r>
      <w:r>
        <w:rPr>
          <w:color w:val="000000"/>
        </w:rPr>
        <w:t>.</w:t>
      </w:r>
    </w:p>
    <w:p>
      <w:pPr>
        <w:pStyle w:val="28"/>
        <w:numPr>
          <w:ilvl w:val="1"/>
          <w:numId w:val="12"/>
        </w:numPr>
        <w:tabs>
          <w:tab w:val="left" w:pos="993"/>
        </w:tabs>
        <w:spacing w:before="0" w:beforeAutospacing="0" w:after="120" w:afterAutospacing="0"/>
        <w:ind w:left="0" w:firstLine="567"/>
        <w:jc w:val="both"/>
        <w:rPr>
          <w:color w:val="000000"/>
        </w:rPr>
      </w:pPr>
      <w:r>
        <w:rPr>
          <w:color w:val="000000"/>
        </w:rPr>
        <w:t>A entrega deverá ocorrer:</w:t>
      </w:r>
    </w:p>
    <w:p>
      <w:pPr>
        <w:pStyle w:val="3"/>
        <w:numPr>
          <w:ilvl w:val="2"/>
          <w:numId w:val="13"/>
        </w:numPr>
        <w:tabs>
          <w:tab w:val="left" w:pos="0"/>
          <w:tab w:val="left" w:pos="1134"/>
        </w:tabs>
        <w:spacing w:before="120" w:beforeAutospacing="0" w:after="120" w:afterAutospacing="0"/>
        <w:jc w:val="both"/>
        <w:textAlignment w:val="baseline"/>
        <w:rPr>
          <w:color w:val="000000"/>
        </w:rPr>
      </w:pPr>
      <w:r>
        <w:rPr>
          <w:color w:val="000000"/>
        </w:rPr>
        <w:t xml:space="preserve">Endereço: </w:t>
      </w:r>
      <w:r>
        <w:rPr>
          <w:color w:val="000000"/>
          <w:highlight w:val="yellow"/>
        </w:rPr>
        <w:t>XXXXXXXXXX</w:t>
      </w:r>
      <w:r>
        <w:rPr>
          <w:color w:val="000000"/>
        </w:rPr>
        <w:t>;</w:t>
      </w:r>
    </w:p>
    <w:p>
      <w:pPr>
        <w:pStyle w:val="3"/>
        <w:numPr>
          <w:ilvl w:val="2"/>
          <w:numId w:val="1"/>
        </w:numPr>
        <w:tabs>
          <w:tab w:val="left" w:pos="1134"/>
        </w:tabs>
        <w:spacing w:before="120" w:beforeAutospacing="0" w:after="0" w:afterAutospacing="0"/>
        <w:jc w:val="both"/>
        <w:textAlignment w:val="baseline"/>
        <w:rPr>
          <w:color w:val="000000"/>
        </w:rPr>
      </w:pPr>
      <w:r>
        <w:rPr>
          <w:color w:val="000000"/>
        </w:rPr>
        <w:t xml:space="preserve">Responsável: </w:t>
      </w:r>
      <w:r>
        <w:rPr>
          <w:color w:val="000000"/>
          <w:highlight w:val="yellow"/>
        </w:rPr>
        <w:t>XXXXXXXXXXXX</w:t>
      </w:r>
      <w:r>
        <w:rPr>
          <w:color w:val="000000"/>
        </w:rPr>
        <w:t>;</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Telefone: </w:t>
      </w:r>
      <w:r>
        <w:rPr>
          <w:color w:val="000000"/>
          <w:highlight w:val="yellow"/>
        </w:rPr>
        <w:t>XXXXXXX</w:t>
      </w:r>
      <w:r>
        <w:rPr>
          <w:color w:val="000000"/>
        </w:rPr>
        <w:t>;</w:t>
      </w:r>
    </w:p>
    <w:p>
      <w:pPr>
        <w:pStyle w:val="3"/>
        <w:numPr>
          <w:ilvl w:val="2"/>
          <w:numId w:val="1"/>
        </w:numPr>
        <w:tabs>
          <w:tab w:val="left" w:pos="1134"/>
        </w:tabs>
        <w:spacing w:before="0" w:beforeAutospacing="0" w:after="0" w:afterAutospacing="0"/>
        <w:jc w:val="both"/>
        <w:textAlignment w:val="baseline"/>
        <w:rPr>
          <w:color w:val="000000"/>
        </w:rPr>
      </w:pPr>
      <w:r>
        <w:rPr>
          <w:color w:val="000000"/>
        </w:rPr>
        <w:t xml:space="preserve">E-mail: </w:t>
      </w:r>
      <w:r>
        <w:rPr>
          <w:highlight w:val="yellow"/>
        </w:rPr>
        <w:t>XXXXXXXX</w:t>
      </w:r>
      <w:r>
        <w:rPr>
          <w:color w:val="000000"/>
        </w:rPr>
        <w:t xml:space="preserve">; </w:t>
      </w:r>
    </w:p>
    <w:p>
      <w:pPr>
        <w:pStyle w:val="3"/>
        <w:numPr>
          <w:ilvl w:val="2"/>
          <w:numId w:val="1"/>
        </w:numPr>
        <w:tabs>
          <w:tab w:val="left" w:pos="1134"/>
        </w:tabs>
        <w:spacing w:before="0" w:beforeAutospacing="0" w:after="120" w:afterAutospacing="0"/>
        <w:jc w:val="both"/>
        <w:textAlignment w:val="baseline"/>
        <w:rPr>
          <w:color w:val="000000"/>
        </w:rPr>
      </w:pPr>
      <w:r>
        <w:rPr>
          <w:color w:val="000000"/>
        </w:rPr>
        <w:t xml:space="preserve">Horário de Funcionamento: </w:t>
      </w:r>
      <w:r>
        <w:rPr>
          <w:color w:val="000000"/>
          <w:highlight w:val="yellow"/>
        </w:rPr>
        <w:t>XXX</w:t>
      </w:r>
      <w:r>
        <w:rPr>
          <w:color w:val="000000"/>
        </w:rPr>
        <w:t xml:space="preserve"> às </w:t>
      </w:r>
      <w:r>
        <w:rPr>
          <w:color w:val="000000"/>
          <w:highlight w:val="yellow"/>
        </w:rPr>
        <w:t>XXX</w:t>
      </w:r>
      <w:r>
        <w:rPr>
          <w:color w:val="000000"/>
        </w:rPr>
        <w:t xml:space="preserve"> no horário oficial de Mato Grosso (GMT -04:00);</w:t>
      </w:r>
    </w:p>
    <w:p>
      <w:pPr>
        <w:pStyle w:val="28"/>
        <w:numPr>
          <w:ilvl w:val="1"/>
          <w:numId w:val="12"/>
        </w:numPr>
        <w:tabs>
          <w:tab w:val="left" w:pos="993"/>
        </w:tabs>
        <w:spacing w:before="120" w:beforeAutospacing="0" w:after="0" w:afterAutospacing="0"/>
        <w:ind w:left="0" w:firstLine="567"/>
        <w:jc w:val="both"/>
        <w:rPr>
          <w:color w:val="000000"/>
        </w:rPr>
      </w:pPr>
      <w:r>
        <w:rPr>
          <w:color w:val="000000"/>
        </w:rPr>
        <w:t xml:space="preserve">O prazo de entrega será conforme cronograma indicado anteriormente, salvo se prazo maior houver sido previsto no </w:t>
      </w:r>
      <w:r>
        <w:rPr>
          <w:rStyle w:val="45"/>
          <w:color w:val="000000"/>
        </w:rPr>
        <w:t>Termo de Referência</w:t>
      </w:r>
      <w:r>
        <w:rPr>
          <w:color w:val="000000"/>
        </w:rPr>
        <w:t>.</w:t>
      </w:r>
    </w:p>
    <w:p>
      <w:pPr>
        <w:pStyle w:val="28"/>
        <w:numPr>
          <w:ilvl w:val="1"/>
          <w:numId w:val="12"/>
        </w:numPr>
        <w:tabs>
          <w:tab w:val="left" w:pos="993"/>
        </w:tabs>
        <w:spacing w:before="0" w:beforeAutospacing="0" w:after="120" w:afterAutospacing="0"/>
        <w:ind w:left="0" w:firstLine="567"/>
        <w:jc w:val="both"/>
        <w:rPr>
          <w:color w:val="000000"/>
        </w:rPr>
      </w:pPr>
      <w:r>
        <w:rPr>
          <w:color w:val="000000"/>
        </w:rPr>
        <w:t>Após a execução, o objeto do contrato será recebido (</w:t>
      </w:r>
      <w:r>
        <w:fldChar w:fldCharType="begin"/>
      </w:r>
      <w:r>
        <w:rPr>
          <w:rStyle w:val="54"/>
        </w:rPr>
        <w:instrText xml:space="preserve"> HYPERLINK "https://www.planalto.gov.br/ccivil_03/_ato2019-2022/2021/lei/l14133.htm" \l "art140"</w:instrText>
      </w:r>
      <w:r>
        <w:rPr>
          <w:rStyle w:val="54"/>
        </w:rPr>
        <w:fldChar w:fldCharType="separate"/>
      </w:r>
      <w:r>
        <w:rPr>
          <w:rStyle w:val="54"/>
        </w:rPr>
        <w:t>art. 140, I, da Lei Federal nº 14.133, de 2021</w:t>
      </w:r>
      <w:r>
        <w:rPr>
          <w:rStyle w:val="54"/>
        </w:rPr>
        <w:fldChar w:fldCharType="end"/>
      </w:r>
      <w:r>
        <w:rPr>
          <w:color w:val="000000"/>
        </w:rPr>
        <w:t>):</w:t>
      </w:r>
    </w:p>
    <w:p>
      <w:pPr>
        <w:pStyle w:val="3"/>
        <w:numPr>
          <w:ilvl w:val="2"/>
          <w:numId w:val="14"/>
        </w:numPr>
        <w:tabs>
          <w:tab w:val="left" w:pos="0"/>
          <w:tab w:val="left" w:pos="1134"/>
        </w:tabs>
        <w:spacing w:before="120" w:beforeAutospacing="0" w:after="120" w:afterAutospacing="0"/>
        <w:jc w:val="both"/>
        <w:textAlignment w:val="baseline"/>
        <w:rPr>
          <w:color w:val="000000"/>
        </w:rPr>
      </w:pPr>
      <w:r>
        <w:rPr>
          <w:color w:val="000000"/>
        </w:rPr>
        <w:t>provisoriamente, pelo responsável por seu acompanhamento e fiscalização, mediante termo detalhado, quando verificado o cumprimento das exigências de caráter técnico (</w:t>
      </w:r>
      <w:r>
        <w:fldChar w:fldCharType="begin"/>
      </w:r>
      <w:r>
        <w:rPr>
          <w:rStyle w:val="54"/>
        </w:rPr>
        <w:instrText xml:space="preserve"> HYPERLINK "https://www.planalto.gov.br/ccivil_03/_ato2019-2022/2021/lei/l14133.htm" \l "art140"</w:instrText>
      </w:r>
      <w:r>
        <w:rPr>
          <w:rStyle w:val="54"/>
        </w:rPr>
        <w:fldChar w:fldCharType="separate"/>
      </w:r>
      <w:r>
        <w:rPr>
          <w:rStyle w:val="54"/>
        </w:rPr>
        <w:t>art. 140, I, “a”, da Lei Federal nº 14.133, de 2021</w:t>
      </w:r>
      <w:r>
        <w:rPr>
          <w:rStyle w:val="54"/>
        </w:rPr>
        <w:fldChar w:fldCharType="end"/>
      </w:r>
      <w:r>
        <w:rPr>
          <w:color w:val="000000"/>
        </w:rPr>
        <w:t xml:space="preserve">); e </w:t>
      </w:r>
    </w:p>
    <w:p>
      <w:pPr>
        <w:pStyle w:val="3"/>
        <w:numPr>
          <w:ilvl w:val="2"/>
          <w:numId w:val="1"/>
        </w:numPr>
        <w:tabs>
          <w:tab w:val="left" w:pos="1134"/>
        </w:tabs>
        <w:spacing w:before="120" w:beforeAutospacing="0" w:after="120" w:afterAutospacing="0"/>
        <w:jc w:val="both"/>
        <w:textAlignment w:val="baseline"/>
        <w:rPr>
          <w:color w:val="000000"/>
        </w:rPr>
      </w:pPr>
      <w:r>
        <w:rPr>
          <w:color w:val="000000"/>
        </w:rPr>
        <w:t>definitivamente, por servidor ou comissão designada pela autoridade competente, mediante termo detalhado que comprove o atendimento das exigências contratuais (</w:t>
      </w:r>
      <w:r>
        <w:fldChar w:fldCharType="begin"/>
      </w:r>
      <w:r>
        <w:rPr>
          <w:rStyle w:val="54"/>
        </w:rPr>
        <w:instrText xml:space="preserve"> HYPERLINK "https://www.planalto.gov.br/ccivil_03/_ato2019-2022/2021/lei/l14133.htm" \l "art140"</w:instrText>
      </w:r>
      <w:r>
        <w:rPr>
          <w:rStyle w:val="54"/>
        </w:rPr>
        <w:fldChar w:fldCharType="separate"/>
      </w:r>
      <w:r>
        <w:rPr>
          <w:rStyle w:val="54"/>
        </w:rPr>
        <w:t>art. 140, I, “b”, da Lei Federal nº 14.133, de 2021</w:t>
      </w:r>
      <w:r>
        <w:rPr>
          <w:rStyle w:val="54"/>
        </w:rPr>
        <w:fldChar w:fldCharType="end"/>
      </w:r>
      <w:r>
        <w:rPr>
          <w:color w:val="000000"/>
        </w:rPr>
        <w:t>).</w:t>
      </w:r>
    </w:p>
    <w:p>
      <w:pPr>
        <w:pStyle w:val="28"/>
        <w:numPr>
          <w:ilvl w:val="0"/>
          <w:numId w:val="12"/>
        </w:numPr>
        <w:pBdr>
          <w:bottom w:val="single" w:color="000000" w:themeColor="dark1" w:sz="4" w:space="1"/>
        </w:pBdr>
        <w:shd w:val="clear" w:color="auto" w:fill="BEBEBE" w:themeFill="background1" w:themeFillShade="BF"/>
        <w:spacing w:before="360" w:beforeAutospacing="0" w:after="0" w:afterAutospacing="0"/>
        <w:jc w:val="both"/>
        <w:rPr>
          <w:color w:val="FFFFFF" w:themeColor="background1"/>
        </w:rPr>
      </w:pPr>
      <w:r>
        <w:rPr>
          <w:rStyle w:val="11"/>
          <w:color w:val="000000"/>
        </w:rPr>
        <w:t>DOTAÇÃO ORÇAMENTÁRIA</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VIII</w:t>
      </w:r>
      <w:r>
        <w:rPr>
          <w:rStyle w:val="54"/>
        </w:rPr>
        <w:fldChar w:fldCharType="end"/>
      </w:r>
      <w:r>
        <w:rPr>
          <w:rStyle w:val="54"/>
        </w:rPr>
        <w:t>, da Lei Federal nº 14.133, de 2021</w:t>
      </w:r>
      <w:r>
        <w:t>)</w:t>
      </w:r>
    </w:p>
    <w:p>
      <w:pPr>
        <w:pStyle w:val="28"/>
        <w:tabs>
          <w:tab w:val="left" w:pos="993"/>
        </w:tabs>
        <w:spacing w:before="0" w:beforeAutospacing="0" w:after="0" w:afterAutospacing="0"/>
        <w:ind w:left="0" w:firstLine="0"/>
        <w:jc w:val="both"/>
        <w:rPr>
          <w:color w:val="000000"/>
        </w:rPr>
      </w:pPr>
      <w:r>
        <w:rPr>
          <w:rFonts w:cs="Arial"/>
          <w:b/>
          <w:bCs/>
          <w:color w:val="000000"/>
          <w:sz w:val="24"/>
          <w:szCs w:val="24"/>
        </w:rPr>
        <w:t xml:space="preserve">11.1 </w:t>
      </w:r>
      <w:r>
        <w:rPr>
          <w:rFonts w:cs="Arial"/>
          <w:color w:val="000000"/>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9"/>
        <w:tblW w:w="9073" w:type="dxa"/>
        <w:tblInd w:w="42" w:type="dxa"/>
        <w:tblLayout w:type="fixed"/>
        <w:tblCellMar>
          <w:top w:w="55" w:type="dxa"/>
          <w:left w:w="55" w:type="dxa"/>
          <w:bottom w:w="55" w:type="dxa"/>
          <w:right w:w="55" w:type="dxa"/>
        </w:tblCellMar>
      </w:tblPr>
      <w:tblGrid>
        <w:gridCol w:w="2160"/>
        <w:gridCol w:w="2655"/>
        <w:gridCol w:w="4258"/>
      </w:tblGrid>
      <w:tr>
        <w:tblPrEx>
          <w:tblCellMar>
            <w:top w:w="55" w:type="dxa"/>
            <w:left w:w="55" w:type="dxa"/>
            <w:bottom w:w="55" w:type="dxa"/>
            <w:right w:w="55" w:type="dxa"/>
          </w:tblCellMar>
        </w:tblPrEx>
        <w:tc>
          <w:tcPr>
            <w:tcW w:w="2160" w:type="dxa"/>
            <w:tcBorders>
              <w:top w:val="single" w:color="000000" w:sz="2" w:space="0"/>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b/>
                <w:bCs/>
                <w:sz w:val="20"/>
                <w:szCs w:val="20"/>
                <w:shd w:val="clear" w:fill="auto"/>
              </w:rPr>
            </w:pPr>
            <w:r>
              <w:rPr>
                <w:rFonts w:ascii="Times New Roman" w:hAnsi="Times New Roman" w:eastAsia="Calibri" w:cs="Times New Roman"/>
                <w:b/>
                <w:bCs/>
                <w:kern w:val="0"/>
                <w:sz w:val="20"/>
                <w:szCs w:val="20"/>
                <w:shd w:val="clear" w:fill="auto"/>
                <w:lang w:val="pt-BR" w:eastAsia="zh-CN" w:bidi="hi-IN"/>
              </w:rPr>
              <w:t>Órgão</w:t>
            </w:r>
          </w:p>
        </w:tc>
        <w:tc>
          <w:tcPr>
            <w:tcW w:w="2655" w:type="dxa"/>
            <w:tcBorders>
              <w:top w:val="single" w:color="000000" w:sz="2" w:space="0"/>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01</w:t>
            </w:r>
          </w:p>
        </w:tc>
        <w:tc>
          <w:tcPr>
            <w:tcW w:w="4258" w:type="dxa"/>
            <w:tcBorders>
              <w:top w:val="single" w:color="000000" w:sz="2" w:space="0"/>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b/>
                <w:bCs/>
                <w:sz w:val="20"/>
                <w:szCs w:val="20"/>
                <w:shd w:val="clear" w:fill="auto"/>
              </w:rPr>
            </w:pPr>
            <w:r>
              <w:rPr>
                <w:rFonts w:ascii="Times New Roman" w:hAnsi="Times New Roman" w:eastAsia="Calibri" w:cs="Times New Roman"/>
                <w:b/>
                <w:bCs/>
                <w:kern w:val="0"/>
                <w:sz w:val="20"/>
                <w:szCs w:val="20"/>
                <w:shd w:val="clear" w:fill="auto"/>
                <w:lang w:val="pt-BR" w:eastAsia="zh-CN" w:bidi="hi-IN"/>
              </w:rPr>
              <w:t>Unid Orçamentária</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b/>
                <w:bCs/>
                <w:sz w:val="20"/>
                <w:szCs w:val="20"/>
                <w:shd w:val="clear" w:fill="auto"/>
              </w:rPr>
            </w:pPr>
            <w:r>
              <w:rPr>
                <w:rFonts w:ascii="Times New Roman" w:hAnsi="Times New Roman" w:eastAsia="Calibri" w:cs="Times New Roman"/>
                <w:b/>
                <w:bCs/>
                <w:kern w:val="0"/>
                <w:sz w:val="20"/>
                <w:szCs w:val="20"/>
                <w:shd w:val="clear" w:fill="auto"/>
                <w:lang w:val="pt-BR" w:eastAsia="zh-CN" w:bidi="hi-IN"/>
              </w:rPr>
              <w:t>Unidade Executora</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01.001</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DEPARTAMENTO ADMINISTRATIVO</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b/>
                <w:bCs/>
                <w:sz w:val="20"/>
                <w:szCs w:val="20"/>
                <w:shd w:val="clear" w:fill="auto"/>
              </w:rPr>
            </w:pPr>
            <w:r>
              <w:rPr>
                <w:rFonts w:ascii="Times New Roman" w:hAnsi="Times New Roman" w:eastAsia="Calibri" w:cs="Times New Roman"/>
                <w:b/>
                <w:bCs/>
                <w:kern w:val="0"/>
                <w:sz w:val="20"/>
                <w:szCs w:val="20"/>
                <w:shd w:val="clear" w:fill="auto"/>
                <w:lang w:val="pt-BR" w:eastAsia="zh-CN" w:bidi="hi-IN"/>
              </w:rPr>
              <w:t>Função programática</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01.031.0001-2.001</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MANUTENÇÃO DEPARTAMENTO ADMINISTRATIVO DA CÂMARA MUNICIPAL</w:t>
            </w:r>
          </w:p>
        </w:tc>
      </w:tr>
      <w:tr>
        <w:tblPrEx>
          <w:tblCellMar>
            <w:top w:w="55" w:type="dxa"/>
            <w:left w:w="55" w:type="dxa"/>
            <w:bottom w:w="55" w:type="dxa"/>
            <w:right w:w="55" w:type="dxa"/>
          </w:tblCellMar>
        </w:tblPrEx>
        <w:tc>
          <w:tcPr>
            <w:tcW w:w="2160"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b/>
                <w:bCs/>
                <w:sz w:val="20"/>
                <w:szCs w:val="20"/>
                <w:shd w:val="clear" w:fill="auto"/>
              </w:rPr>
            </w:pPr>
            <w:r>
              <w:rPr>
                <w:rFonts w:ascii="Times New Roman" w:hAnsi="Times New Roman" w:eastAsia="Calibri" w:cs="Times New Roman"/>
                <w:b/>
                <w:bCs/>
                <w:kern w:val="0"/>
                <w:sz w:val="20"/>
                <w:szCs w:val="20"/>
                <w:shd w:val="clear" w:fill="auto"/>
                <w:lang w:val="pt-BR" w:eastAsia="zh-CN" w:bidi="hi-IN"/>
              </w:rPr>
              <w:t>Elemento</w:t>
            </w:r>
          </w:p>
        </w:tc>
        <w:tc>
          <w:tcPr>
            <w:tcW w:w="2655" w:type="dxa"/>
            <w:tcBorders>
              <w:left w:val="single" w:color="000000" w:sz="2" w:space="0"/>
              <w:bottom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3.3.90.39.00</w:t>
            </w:r>
          </w:p>
        </w:tc>
        <w:tc>
          <w:tcPr>
            <w:tcW w:w="4258" w:type="dxa"/>
            <w:tcBorders>
              <w:left w:val="single" w:color="000000" w:sz="2" w:space="0"/>
              <w:bottom w:val="single" w:color="000000" w:sz="2" w:space="0"/>
              <w:right w:val="single" w:color="000000" w:sz="2" w:space="0"/>
            </w:tcBorders>
          </w:tcPr>
          <w:p>
            <w:pPr>
              <w:pStyle w:val="168"/>
              <w:widowControl/>
              <w:suppressAutoHyphens/>
              <w:spacing w:before="0" w:after="200" w:line="240" w:lineRule="auto"/>
              <w:jc w:val="left"/>
              <w:rPr>
                <w:rFonts w:ascii="Times New Roman" w:hAnsi="Times New Roman"/>
                <w:sz w:val="20"/>
                <w:szCs w:val="20"/>
                <w:shd w:val="clear" w:fill="auto"/>
              </w:rPr>
            </w:pPr>
            <w:r>
              <w:rPr>
                <w:rFonts w:ascii="Times New Roman" w:hAnsi="Times New Roman" w:eastAsia="Calibri" w:cs="Times New Roman"/>
                <w:kern w:val="0"/>
                <w:sz w:val="20"/>
                <w:szCs w:val="20"/>
                <w:shd w:val="clear" w:fill="auto"/>
                <w:lang w:val="pt-BR" w:eastAsia="zh-CN" w:bidi="hi-IN"/>
              </w:rPr>
              <w:t>SERVIÇOS DE TERCEIROS – PESSOA JURÍDICA</w:t>
            </w:r>
          </w:p>
        </w:tc>
      </w:tr>
    </w:tbl>
    <w:p>
      <w:pPr>
        <w:pStyle w:val="28"/>
        <w:tabs>
          <w:tab w:val="left" w:pos="993"/>
        </w:tabs>
        <w:spacing w:before="0" w:beforeAutospacing="0" w:after="0" w:afterAutospacing="0"/>
        <w:ind w:left="0" w:firstLine="567"/>
        <w:jc w:val="both"/>
        <w:rPr>
          <w:rFonts w:cs="Arial"/>
          <w:b/>
          <w:sz w:val="20"/>
          <w:szCs w:val="20"/>
        </w:rPr>
      </w:pP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 xml:space="preserve">PREÇO </w:t>
      </w:r>
      <w:r>
        <w:t>(</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V</w:t>
      </w:r>
      <w:r>
        <w:rPr>
          <w:rStyle w:val="54"/>
        </w:rPr>
        <w:fldChar w:fldCharType="end"/>
      </w:r>
      <w:r>
        <w:rPr>
          <w:rStyle w:val="54"/>
        </w:rPr>
        <w:t>, da Lei Federal nº 14.133, de 2021</w:t>
      </w:r>
      <w:r>
        <w:t>)</w:t>
      </w:r>
    </w:p>
    <w:p>
      <w:pPr>
        <w:pStyle w:val="28"/>
        <w:numPr>
          <w:ilvl w:val="1"/>
          <w:numId w:val="12"/>
        </w:numPr>
        <w:tabs>
          <w:tab w:val="left" w:pos="993"/>
        </w:tabs>
        <w:spacing w:before="0" w:beforeAutospacing="0" w:after="0" w:afterAutospacing="0"/>
        <w:ind w:left="0" w:firstLine="567"/>
        <w:jc w:val="both"/>
      </w:pPr>
      <w:r>
        <w:t xml:space="preserve">O valor total da contratação é de </w:t>
      </w:r>
      <w:r>
        <w:rPr>
          <w:rFonts w:asciiTheme="minorHAnsi" w:hAnsiTheme="minorHAnsi" w:eastAsiaTheme="minorHAnsi" w:cstheme="minorBidi"/>
          <w:shd w:val="clear" w:fill="auto"/>
        </w:rPr>
        <w:t>R$ 194.963,00 (Cento e noventa e quatro mil novecentos e sessenta e três reais),</w:t>
      </w:r>
      <w:r>
        <w:t xml:space="preserve"> referente à emissão da Nota de Empenho nº XXX a partir da ARP nº 002/2024, podendo ser emitidos empenhos adicionais a partir da referida ARP, desde que dentro de seus limites e vigência e, consequentemente, aumentando o valor da presente contratação.</w:t>
      </w:r>
    </w:p>
    <w:p>
      <w:pPr>
        <w:pStyle w:val="28"/>
        <w:numPr>
          <w:ilvl w:val="1"/>
          <w:numId w:val="12"/>
        </w:numPr>
        <w:tabs>
          <w:tab w:val="left" w:pos="993"/>
        </w:tabs>
        <w:spacing w:before="0" w:beforeAutospacing="0" w:after="0" w:afterAutospacing="0"/>
        <w:ind w:left="0" w:firstLine="567"/>
        <w:jc w:val="both"/>
      </w:pPr>
      <w: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28"/>
        <w:numPr>
          <w:ilvl w:val="1"/>
          <w:numId w:val="12"/>
        </w:numPr>
        <w:tabs>
          <w:tab w:val="left" w:pos="993"/>
        </w:tabs>
        <w:spacing w:before="0" w:beforeAutospacing="0" w:after="0" w:afterAutospacing="0"/>
        <w:ind w:left="0" w:firstLine="567"/>
        <w:jc w:val="both"/>
      </w:pPr>
      <w:r>
        <w:t>O pagamento poderá conter glosas em virtude dos resultados apurados no Instrumento de Medição de Resultados - IMR (Anexo I-C do Termo de Referência).</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CONDIÇÕES DE PAGAMENTO</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V</w:t>
      </w:r>
      <w:r>
        <w:rPr>
          <w:rStyle w:val="54"/>
        </w:rPr>
        <w:fldChar w:fldCharType="end"/>
      </w:r>
      <w:r>
        <w:rPr>
          <w:rStyle w:val="54"/>
        </w:rPr>
        <w:t>, da Lei Federal nº 14.133, de 2021</w:t>
      </w:r>
      <w: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Para que a Nota Fiscal seja encaminhada para liquidação e pagamento será feito o recebimento provisório pelo responsável por seu acompanhamento e fiscalização (</w:t>
      </w:r>
      <w:r>
        <w:fldChar w:fldCharType="begin"/>
      </w:r>
      <w:r>
        <w:rPr>
          <w:rStyle w:val="54"/>
        </w:rPr>
        <w:instrText xml:space="preserve"> HYPERLINK "https://www.planalto.gov.br/ccivil_03/_ato2019-2022/2021/lei/l14133.htm" \l "art140"</w:instrText>
      </w:r>
      <w:r>
        <w:rPr>
          <w:rStyle w:val="54"/>
        </w:rPr>
        <w:fldChar w:fldCharType="separate"/>
      </w:r>
      <w:r>
        <w:rPr>
          <w:rStyle w:val="54"/>
        </w:rPr>
        <w:t>art. 140, I, “a”, da Lei Federal nº 14.133, de 2021</w:t>
      </w:r>
      <w:r>
        <w:rPr>
          <w:rStyle w:val="54"/>
        </w:rPr>
        <w:fldChar w:fldCharType="end"/>
      </w:r>
      <w:r>
        <w:rPr>
          <w:color w:val="000000"/>
        </w:rPr>
        <w:t>) e o recebimento definitivo por servidor ou comissão designada pela autoridade competente (</w:t>
      </w:r>
      <w:r>
        <w:fldChar w:fldCharType="begin"/>
      </w:r>
      <w:r>
        <w:rPr>
          <w:rStyle w:val="54"/>
        </w:rPr>
        <w:instrText xml:space="preserve"> HYPERLINK "https://www.planalto.gov.br/ccivil_03/_ato2019-2022/2021/lei/l14133.htm" \l "art140"</w:instrText>
      </w:r>
      <w:r>
        <w:rPr>
          <w:rStyle w:val="54"/>
        </w:rPr>
        <w:fldChar w:fldCharType="separate"/>
      </w:r>
      <w:r>
        <w:rPr>
          <w:rStyle w:val="54"/>
        </w:rPr>
        <w:t>art. 140, I, “b”, da Lei Federal nº 14.133, de 2021</w:t>
      </w:r>
      <w:r>
        <w:rPr>
          <w:rStyle w:val="54"/>
        </w:rPr>
        <w:fldChar w:fldCharType="end"/>
      </w:r>
      <w:r>
        <w:rPr>
          <w:color w:val="000000"/>
        </w:rPr>
        <w:t>).</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rStyle w:val="11"/>
          <w:b w:val="0"/>
          <w:bCs w:val="0"/>
          <w:color w:val="000000"/>
        </w:rPr>
      </w:pPr>
      <w:r>
        <w:rPr>
          <w:rStyle w:val="11"/>
          <w:color w:val="000000"/>
        </w:rPr>
        <w:t>LIQUIDAÇÃO E PAGAMENTO </w:t>
      </w:r>
      <w:r>
        <w:rPr>
          <w:rStyle w:val="11"/>
          <w:b w:val="0"/>
          <w:bCs w:val="0"/>
          <w:color w:val="000000"/>
        </w:rPr>
        <w:t>(</w:t>
      </w:r>
      <w:r>
        <w:fldChar w:fldCharType="begin"/>
      </w:r>
      <w:r>
        <w:rPr>
          <w:rStyle w:val="54"/>
        </w:rPr>
        <w:instrText xml:space="preserve"> HYPERLINK "https://www.planalto.gov.br/ccivil_03/_ato2019-2022/2021/lei/l14133.htm" \l "art143"</w:instrText>
      </w:r>
      <w:r>
        <w:rPr>
          <w:rStyle w:val="54"/>
        </w:rPr>
        <w:fldChar w:fldCharType="separate"/>
      </w:r>
      <w:r>
        <w:rPr>
          <w:rStyle w:val="54"/>
        </w:rPr>
        <w:t>art. 143 e 146 da Lei Federal nº 14.133, de 2021</w:t>
      </w:r>
      <w:r>
        <w:rPr>
          <w:rStyle w:val="54"/>
        </w:rPr>
        <w:fldChar w:fldCharType="end"/>
      </w:r>
      <w:r>
        <w:rPr>
          <w:rStyle w:val="11"/>
          <w:b w:val="0"/>
          <w:bCs w:val="0"/>
          <w:color w:val="000000"/>
        </w:rPr>
        <w:t xml:space="preserve"> e Resolução 50 de 2023.)</w:t>
      </w:r>
    </w:p>
    <w:p>
      <w:pPr>
        <w:pStyle w:val="28"/>
        <w:numPr>
          <w:ilvl w:val="1"/>
          <w:numId w:val="12"/>
        </w:numPr>
        <w:tabs>
          <w:tab w:val="left" w:pos="993"/>
        </w:tabs>
        <w:spacing w:before="0" w:beforeAutospacing="0" w:after="0" w:afterAutospacing="0"/>
        <w:ind w:left="0" w:firstLine="567"/>
        <w:jc w:val="both"/>
        <w:rPr>
          <w:color w:val="000000" w:themeColor="text1"/>
        </w:rPr>
      </w:pPr>
      <w:r>
        <w:rPr>
          <w:color w:val="000000" w:themeColor="text1"/>
        </w:rPr>
        <w:t xml:space="preserve">A </w:t>
      </w:r>
      <w:r>
        <w:rPr>
          <w:color w:val="000000"/>
        </w:rPr>
        <w:t>Contratada</w:t>
      </w:r>
      <w:r>
        <w:rPr>
          <w:color w:val="000000" w:themeColor="text1"/>
        </w:rPr>
        <w:t xml:space="preserve"> deverá entregar a Nota Fiscal após a execução do serviço, </w:t>
      </w:r>
      <w:r>
        <w:rPr>
          <w:color w:val="000000"/>
        </w:rPr>
        <w:t>sob</w:t>
      </w:r>
      <w:r>
        <w:rPr>
          <w:color w:val="000000" w:themeColor="text1"/>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45"/>
          <w:color w:val="000000"/>
        </w:rPr>
        <w:t>Termo de Referência</w:t>
      </w:r>
      <w:r>
        <w:rPr>
          <w:color w:val="000000" w:themeColor="text1"/>
        </w:rPr>
        <w:t xml:space="preserve"> para liquidação e pagamento, em até</w:t>
      </w:r>
      <w:r>
        <w:rPr>
          <w:color w:val="000000" w:themeColor="text1"/>
          <w:shd w:val="clear" w:fill="auto"/>
        </w:rPr>
        <w:t xml:space="preserve"> 30 (trinta) </w:t>
      </w:r>
      <w:r>
        <w:rPr>
          <w:color w:val="000000" w:themeColor="text1"/>
        </w:rPr>
        <w:t xml:space="preserve">dias corridos após a entrega do objeto contratado, sob pena de caracterizar a infração tipificada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VII, da Lei Federal nº 14.133, de 2021</w:t>
      </w:r>
      <w:r>
        <w:rPr>
          <w:rStyle w:val="54"/>
        </w:rPr>
        <w:fldChar w:fldCharType="end"/>
      </w:r>
      <w:r>
        <w:rPr>
          <w:color w:val="000000" w:themeColor="text1"/>
        </w:rPr>
        <w:t>.</w:t>
      </w:r>
    </w:p>
    <w:p>
      <w:pPr>
        <w:pStyle w:val="28"/>
        <w:numPr>
          <w:ilvl w:val="1"/>
          <w:numId w:val="12"/>
        </w:numPr>
        <w:tabs>
          <w:tab w:val="left" w:pos="993"/>
        </w:tabs>
        <w:spacing w:before="0" w:beforeAutospacing="0" w:after="0" w:afterAutospacing="0"/>
        <w:ind w:left="0" w:firstLine="567"/>
        <w:jc w:val="both"/>
      </w:pPr>
      <w:r>
        <w:rPr>
          <w:color w:val="000000" w:themeColor="text1"/>
        </w:rPr>
        <w:t xml:space="preserve">O </w:t>
      </w:r>
      <w:r>
        <w:rPr>
          <w:color w:val="000000"/>
        </w:rPr>
        <w:t>CNPJ</w:t>
      </w:r>
      <w:r>
        <w:rPr>
          <w:color w:val="000000" w:themeColor="text1"/>
        </w:rPr>
        <w:t xml:space="preserve"> </w:t>
      </w:r>
      <w:r>
        <w:rPr>
          <w:color w:val="000000"/>
        </w:rPr>
        <w:t>constante</w:t>
      </w:r>
      <w:r>
        <w:rPr>
          <w:color w:val="000000" w:themeColor="text1"/>
        </w:rPr>
        <w:t xml:space="preserve"> da Nota Fiscal e/ou DANFE (Documento Auxiliar de Nota Fiscal Eletrônica) deverá ser o mesmo indicado na proposta e neste instrumento de contrato. </w:t>
      </w:r>
    </w:p>
    <w:p>
      <w:pPr>
        <w:pStyle w:val="28"/>
        <w:numPr>
          <w:ilvl w:val="1"/>
          <w:numId w:val="12"/>
        </w:numPr>
        <w:tabs>
          <w:tab w:val="left" w:pos="993"/>
        </w:tabs>
        <w:spacing w:before="0" w:beforeAutospacing="0" w:after="0" w:afterAutospacing="0"/>
        <w:ind w:left="0" w:firstLine="567"/>
        <w:jc w:val="both"/>
      </w:pPr>
      <w:r>
        <w:rPr>
          <w:color w:val="000000"/>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54"/>
        </w:rPr>
        <w:instrText xml:space="preserve"> HYPERLINK "https://www.planalto.gov.br/ccivil_03/_ato2019-2022/2021/lei/l14133.htm" \l "art141"</w:instrText>
      </w:r>
      <w:r>
        <w:rPr>
          <w:rStyle w:val="54"/>
        </w:rPr>
        <w:fldChar w:fldCharType="separate"/>
      </w:r>
      <w:r>
        <w:rPr>
          <w:rStyle w:val="54"/>
        </w:rPr>
        <w:t>art. 141 da Lei Federal nº 14.133, de 2021</w:t>
      </w:r>
      <w:r>
        <w:rPr>
          <w:rStyle w:val="54"/>
        </w:rPr>
        <w:fldChar w:fldCharType="end"/>
      </w:r>
      <w:r>
        <w:rPr>
          <w:rStyle w:val="54"/>
        </w:rP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54"/>
        </w:rPr>
        <w:instrText xml:space="preserve"> HYPERLINK "http://www.planalto.gov.br/ccivil_03/_ato2019-2022/2021/lei/L14133.htm" \l "art143"</w:instrText>
      </w:r>
      <w:r>
        <w:rPr>
          <w:rStyle w:val="54"/>
        </w:rPr>
        <w:fldChar w:fldCharType="separate"/>
      </w:r>
      <w:r>
        <w:rPr>
          <w:rStyle w:val="54"/>
        </w:rPr>
        <w:t>art. 143 da Lei Federal nº 14.133, de 2021</w:t>
      </w:r>
      <w:r>
        <w:rPr>
          <w:rStyle w:val="54"/>
        </w:rPr>
        <w:fldChar w:fldCharType="end"/>
      </w:r>
      <w:r>
        <w:rPr>
          <w:color w:val="000000"/>
        </w:rP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O Contratante não efetuará pagamento de título descontado, ou por meio de cobrança em banco, bem como, os que forem negociados com terceiros por intermédio da operação de “</w:t>
      </w:r>
      <w:r>
        <w:rPr>
          <w:i/>
          <w:iCs/>
          <w:color w:val="000000"/>
        </w:rPr>
        <w:t>factoring</w:t>
      </w:r>
      <w:r>
        <w:rPr>
          <w:color w:val="000000"/>
        </w:rPr>
        <w:t>”.</w:t>
      </w:r>
    </w:p>
    <w:p>
      <w:pPr>
        <w:pStyle w:val="28"/>
        <w:numPr>
          <w:ilvl w:val="1"/>
          <w:numId w:val="12"/>
        </w:numPr>
        <w:tabs>
          <w:tab w:val="left" w:pos="993"/>
        </w:tabs>
        <w:spacing w:before="0" w:beforeAutospacing="0" w:after="120" w:afterAutospacing="0"/>
        <w:ind w:left="0" w:firstLine="567"/>
        <w:jc w:val="both"/>
      </w:pPr>
      <w:r>
        <w:rPr>
          <w:color w:val="000000" w:themeColor="text1"/>
        </w:rPr>
        <w:t xml:space="preserve">Nos termos do </w:t>
      </w:r>
      <w:r>
        <w:fldChar w:fldCharType="begin"/>
      </w:r>
      <w:r>
        <w:rPr>
          <w:rStyle w:val="54"/>
        </w:rPr>
        <w:instrText xml:space="preserve"> HYPERLINK "https://www.planalto.gov.br/ccivil_03/_ato2019-2022/2021/lei/l14133.htm" \l "art92"</w:instrText>
      </w:r>
      <w:r>
        <w:rPr>
          <w:rStyle w:val="54"/>
        </w:rPr>
        <w:fldChar w:fldCharType="separate"/>
      </w:r>
      <w:r>
        <w:rPr>
          <w:rStyle w:val="54"/>
        </w:rPr>
        <w:t>art. 92, V, da Lei Federal nº 14.133, de 2021</w:t>
      </w:r>
      <w:r>
        <w:rPr>
          <w:rStyle w:val="54"/>
        </w:rPr>
        <w:fldChar w:fldCharType="end"/>
      </w:r>
      <w:r>
        <w:rPr>
          <w:color w:val="000000" w:themeColor="text1"/>
        </w:rPr>
        <w:t xml:space="preserve">, caso o </w:t>
      </w:r>
      <w:r>
        <w:rPr>
          <w:rFonts w:eastAsia="Cambria"/>
          <w:color w:val="000000" w:themeColor="text1"/>
        </w:rPr>
        <w:t>pagamento</w:t>
      </w:r>
      <w:r>
        <w:rPr>
          <w:color w:val="000000" w:themeColor="text1"/>
        </w:rPr>
        <w:t xml:space="preserve"> seja efetuado </w:t>
      </w:r>
      <w:r>
        <w:rPr>
          <w:color w:val="000000"/>
        </w:rPr>
        <w:t>após</w:t>
      </w:r>
      <w:r>
        <w:rPr>
          <w:color w:val="000000" w:themeColor="text1"/>
        </w:rPr>
        <w:t xml:space="preserve"> 30 (</w:t>
      </w:r>
      <w:r>
        <w:rPr>
          <w:color w:val="000000"/>
        </w:rPr>
        <w:t>trinta</w:t>
      </w:r>
      <w:r>
        <w:rPr>
          <w:color w:val="000000" w:themeColor="text1"/>
        </w:rPr>
        <w:t xml:space="preserve">) dias do recebimento definitivo do objeto contratado, desde que a Contratada não tenha concorrido de alguma forma para tanto, fica convencionado que a taxa de compensação financeira devida pelo </w:t>
      </w:r>
      <w:r>
        <w:rPr>
          <w:color w:val="000000"/>
        </w:rPr>
        <w:t>Contratante</w:t>
      </w:r>
      <w:r>
        <w:rPr>
          <w:color w:val="000000" w:themeColor="text1"/>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eastAsia="Times New Roman" w:cs="Times New Roman"/>
          <w:b/>
          <w:bCs/>
          <w:color w:val="000000"/>
          <w:sz w:val="24"/>
          <w:szCs w:val="24"/>
          <w:lang w:eastAsia="pt-BR"/>
        </w:rPr>
      </w:pPr>
      <w:r>
        <w:rPr>
          <w:rFonts w:ascii="Times New Roman" w:hAnsi="Times New Roman" w:eastAsia="Times New Roman" w:cs="Times New Roman"/>
          <w:b/>
          <w:bCs/>
          <w:color w:val="000000"/>
          <w:sz w:val="24"/>
          <w:szCs w:val="24"/>
          <w:lang w:eastAsia="pt-BR"/>
        </w:rPr>
        <w:t>EM = I x N x VP</w:t>
      </w:r>
    </w:p>
    <w:p>
      <w:pPr>
        <w:spacing w:before="0" w:after="0" w:line="240" w:lineRule="auto"/>
        <w:ind w:firstLine="567"/>
        <w:jc w:val="both"/>
        <w:textAlignment w:val="baseline"/>
        <w:rPr>
          <w:rFonts w:ascii="Times New Roman" w:hAnsi="Times New Roman" w:eastAsia="Times New Roman" w:cs="Times New Roman"/>
          <w:sz w:val="24"/>
          <w:szCs w:val="24"/>
          <w:lang w:eastAsia="pt-BR"/>
        </w:rPr>
      </w:pPr>
      <w:r>
        <w:rPr>
          <w:rFonts w:ascii="Times New Roman" w:hAnsi="Times New Roman" w:eastAsia="Times New Roman" w:cs="Times New Roman"/>
          <w:color w:val="000000"/>
          <w:sz w:val="24"/>
          <w:szCs w:val="24"/>
          <w:lang w:eastAsia="pt-BR"/>
        </w:rPr>
        <w:t>Onde:</w:t>
      </w:r>
    </w:p>
    <w:p>
      <w:pPr>
        <w:spacing w:before="0" w:after="0" w:line="240" w:lineRule="auto"/>
        <w:ind w:firstLine="1134"/>
        <w:jc w:val="both"/>
        <w:textAlignment w:val="baseline"/>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EM</w:t>
      </w:r>
      <w:r>
        <w:rPr>
          <w:rFonts w:ascii="Times New Roman" w:hAnsi="Times New Roman" w:eastAsia="Times New Roman" w:cs="Times New Roman"/>
          <w:color w:val="000000"/>
          <w:sz w:val="24"/>
          <w:szCs w:val="24"/>
          <w:lang w:eastAsia="pt-BR"/>
        </w:rPr>
        <w:t xml:space="preserve"> = encargos moratórios;</w:t>
      </w:r>
    </w:p>
    <w:p>
      <w:pPr>
        <w:spacing w:before="0" w:after="0" w:line="240" w:lineRule="auto"/>
        <w:ind w:firstLine="1134"/>
        <w:jc w:val="both"/>
        <w:textAlignment w:val="baseline"/>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I</w:t>
      </w:r>
      <w:r>
        <w:rPr>
          <w:rFonts w:ascii="Times New Roman" w:hAnsi="Times New Roman" w:eastAsia="Times New Roman" w:cs="Times New Roman"/>
          <w:color w:val="000000"/>
          <w:sz w:val="24"/>
          <w:szCs w:val="24"/>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N</w:t>
      </w:r>
      <w:r>
        <w:rPr>
          <w:rFonts w:ascii="Times New Roman" w:hAnsi="Times New Roman" w:eastAsia="Times New Roman" w:cs="Times New Roman"/>
          <w:color w:val="000000"/>
          <w:sz w:val="24"/>
          <w:szCs w:val="24"/>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eastAsia="Times New Roman" w:cs="Times New Roman"/>
          <w:color w:val="000000"/>
          <w:sz w:val="24"/>
          <w:szCs w:val="24"/>
          <w:lang w:eastAsia="pt-BR"/>
        </w:rPr>
      </w:pPr>
      <w:r>
        <w:rPr>
          <w:rFonts w:ascii="Times New Roman" w:hAnsi="Times New Roman" w:eastAsia="Times New Roman" w:cs="Times New Roman"/>
          <w:b/>
          <w:bCs/>
          <w:color w:val="000000"/>
          <w:sz w:val="24"/>
          <w:szCs w:val="24"/>
          <w:lang w:eastAsia="pt-BR"/>
        </w:rPr>
        <w:t>VP</w:t>
      </w:r>
      <w:r>
        <w:rPr>
          <w:rFonts w:ascii="Times New Roman" w:hAnsi="Times New Roman" w:eastAsia="Times New Roman" w:cs="Times New Roman"/>
          <w:color w:val="000000"/>
          <w:sz w:val="24"/>
          <w:szCs w:val="24"/>
          <w:lang w:eastAsia="pt-BR"/>
        </w:rPr>
        <w:t xml:space="preserve"> = valor da parcela a ser paga.</w:t>
      </w:r>
    </w:p>
    <w:p>
      <w:pPr>
        <w:pStyle w:val="28"/>
        <w:numPr>
          <w:ilvl w:val="0"/>
          <w:numId w:val="12"/>
        </w:numPr>
        <w:pBdr>
          <w:bottom w:val="single" w:color="000000" w:themeColor="dark1" w:sz="4" w:space="1"/>
        </w:pBdr>
        <w:shd w:val="clear" w:color="auto" w:fill="BEBEBE" w:themeFill="background1" w:themeFillShade="BF"/>
        <w:spacing w:before="360" w:beforeAutospacing="0" w:after="0" w:afterAutospacing="0"/>
        <w:jc w:val="both"/>
        <w:rPr>
          <w:color w:val="FFFFFF" w:themeColor="background1"/>
        </w:rPr>
      </w:pPr>
      <w:bookmarkStart w:id="78" w:name="_REAJUSTE_(art._92,"/>
      <w:bookmarkEnd w:id="78"/>
      <w:r>
        <w:rPr>
          <w:rStyle w:val="11"/>
          <w:color w:val="000000"/>
        </w:rPr>
        <w:t>GARANTIA DE EXECUÇÃO</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XII</w:t>
      </w:r>
      <w:r>
        <w:rPr>
          <w:rStyle w:val="54"/>
        </w:rPr>
        <w:fldChar w:fldCharType="end"/>
      </w:r>
      <w:r>
        <w:rPr>
          <w:rStyle w:val="54"/>
        </w:rPr>
        <w:t xml:space="preserve"> e XIII, da Lei Federal nº 14.133, de 2021</w:t>
      </w:r>
      <w: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A garantia legal de adequação do serviço independe de termo expresso, vedada a exoneração contratual do fornecedor. (</w:t>
      </w:r>
      <w:r>
        <w:fldChar w:fldCharType="begin"/>
      </w:r>
      <w:r>
        <w:rPr>
          <w:rStyle w:val="54"/>
        </w:rPr>
        <w:instrText xml:space="preserve"> HYPERLINK "https://www.planalto.gov.br/ccivil_03/leis/l8078compilado.htm" \l "art24"</w:instrText>
      </w:r>
      <w:r>
        <w:rPr>
          <w:rStyle w:val="54"/>
        </w:rPr>
        <w:fldChar w:fldCharType="separate"/>
      </w:r>
      <w:r>
        <w:rPr>
          <w:rStyle w:val="54"/>
        </w:rPr>
        <w:t>art. 24 da Lei Federal nº 8.078, de 1990</w:t>
      </w:r>
      <w:r>
        <w:rPr>
          <w:rStyle w:val="54"/>
        </w:rPr>
        <w:fldChar w:fldCharType="end"/>
      </w:r>
      <w:r>
        <w:rPr>
          <w:color w:val="000000"/>
        </w:rP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A garantia contratual é complementar à legal. (</w:t>
      </w:r>
      <w:r>
        <w:fldChar w:fldCharType="begin"/>
      </w:r>
      <w:r>
        <w:rPr>
          <w:rStyle w:val="54"/>
        </w:rPr>
        <w:instrText xml:space="preserve"> HYPERLINK "https://www.planalto.gov.br/ccivil_03/leis/l8078compilado.htm" \l "art50"</w:instrText>
      </w:r>
      <w:r>
        <w:rPr>
          <w:rStyle w:val="54"/>
        </w:rPr>
        <w:fldChar w:fldCharType="separate"/>
      </w:r>
      <w:r>
        <w:rPr>
          <w:rStyle w:val="54"/>
        </w:rPr>
        <w:t>art. 50 da Lei Federal nº 8.078, de 1990</w:t>
      </w:r>
      <w:r>
        <w:rPr>
          <w:rStyle w:val="54"/>
        </w:rPr>
        <w:fldChar w:fldCharType="end"/>
      </w:r>
      <w:r>
        <w:rPr>
          <w:color w:val="000000"/>
        </w:rPr>
        <w:t>)</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REAJUSTE</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 3º,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Os preços inicialmente contratados são fixos e irreajustáveis no prazo de um ano contado da data da proposta (dia de abertura do certame licitatório).</w:t>
      </w:r>
    </w:p>
    <w:p>
      <w:pPr>
        <w:pStyle w:val="28"/>
        <w:numPr>
          <w:ilvl w:val="1"/>
          <w:numId w:val="12"/>
        </w:numPr>
        <w:tabs>
          <w:tab w:val="left" w:pos="993"/>
        </w:tabs>
        <w:spacing w:before="0" w:beforeAutospacing="0" w:after="0" w:afterAutospacing="0"/>
        <w:ind w:left="0" w:firstLine="567"/>
        <w:jc w:val="both"/>
      </w:pPr>
      <w:r>
        <w:t>Após o interregno de um ano, independentemente de pedido da Contratada, os preços iniciais serão reajustados, exclusivamente para as obrigações iniciadas e concluídas após a ocorrência da anualidade.</w:t>
      </w:r>
    </w:p>
    <w:p>
      <w:pPr>
        <w:pStyle w:val="28"/>
        <w:numPr>
          <w:ilvl w:val="1"/>
          <w:numId w:val="12"/>
        </w:numPr>
        <w:tabs>
          <w:tab w:val="left" w:pos="993"/>
        </w:tabs>
        <w:spacing w:before="0" w:beforeAutospacing="0" w:after="120" w:afterAutospacing="0"/>
        <w:ind w:left="0" w:firstLine="567"/>
        <w:jc w:val="both"/>
        <w:rPr>
          <w:color w:val="000000" w:themeColor="text1"/>
        </w:rPr>
      </w:pPr>
      <w:r>
        <w:rPr>
          <w:color w:val="000000" w:themeColor="text1"/>
        </w:rPr>
        <w:t xml:space="preserve">Para </w:t>
      </w:r>
      <w:r>
        <w:rPr>
          <w:color w:val="000000"/>
        </w:rPr>
        <w:t>efeito</w:t>
      </w:r>
      <w:r>
        <w:rPr>
          <w:color w:val="000000" w:themeColor="text1"/>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3"/>
        <w:tabs>
          <w:tab w:val="left" w:pos="1134"/>
        </w:tabs>
        <w:spacing w:before="120" w:beforeAutospacing="0" w:after="120" w:afterAutospacing="0"/>
        <w:ind w:left="1134"/>
        <w:jc w:val="both"/>
        <w:textAlignment w:val="baseline"/>
        <w:rPr>
          <w:b/>
          <w:bCs/>
          <w:color w:val="000000" w:themeColor="text1"/>
        </w:rPr>
      </w:pPr>
      <w:r>
        <w:rPr>
          <w:b/>
          <w:bCs/>
          <w:color w:val="000000" w:themeColor="text1"/>
        </w:rPr>
        <w:t>PR = PI x IR</w:t>
      </w:r>
    </w:p>
    <w:p>
      <w:pPr>
        <w:pStyle w:val="3"/>
        <w:tabs>
          <w:tab w:val="left" w:pos="1134"/>
        </w:tabs>
        <w:spacing w:before="120" w:beforeAutospacing="0" w:after="120" w:afterAutospacing="0"/>
        <w:ind w:left="567"/>
        <w:jc w:val="both"/>
        <w:textAlignment w:val="baseline"/>
        <w:rPr>
          <w:color w:val="000000" w:themeColor="text1"/>
        </w:rPr>
      </w:pPr>
      <w:r>
        <w:rPr>
          <w:color w:val="000000" w:themeColor="text1"/>
        </w:rPr>
        <w:t>Onde:</w:t>
      </w:r>
    </w:p>
    <w:p>
      <w:pPr>
        <w:pStyle w:val="3"/>
        <w:tabs>
          <w:tab w:val="left" w:pos="1134"/>
        </w:tabs>
        <w:spacing w:before="120" w:beforeAutospacing="0" w:after="120" w:afterAutospacing="0"/>
        <w:ind w:left="1134"/>
        <w:jc w:val="both"/>
        <w:textAlignment w:val="baseline"/>
        <w:rPr>
          <w:color w:val="000000" w:themeColor="text1"/>
        </w:rPr>
      </w:pPr>
      <w:r>
        <w:rPr>
          <w:b/>
          <w:bCs/>
          <w:color w:val="000000" w:themeColor="text1"/>
        </w:rPr>
        <w:t>PR</w:t>
      </w:r>
      <w:r>
        <w:rPr>
          <w:color w:val="000000" w:themeColor="text1"/>
        </w:rPr>
        <w:t xml:space="preserve"> = Preço reajustado</w:t>
      </w:r>
    </w:p>
    <w:p>
      <w:pPr>
        <w:pStyle w:val="3"/>
        <w:tabs>
          <w:tab w:val="left" w:pos="1134"/>
        </w:tabs>
        <w:spacing w:before="120" w:beforeAutospacing="0" w:after="120" w:afterAutospacing="0"/>
        <w:ind w:left="1134"/>
        <w:jc w:val="both"/>
        <w:textAlignment w:val="baseline"/>
        <w:rPr>
          <w:color w:val="000000" w:themeColor="text1"/>
        </w:rPr>
      </w:pPr>
      <w:r>
        <w:rPr>
          <w:b/>
          <w:bCs/>
          <w:color w:val="000000" w:themeColor="text1"/>
        </w:rPr>
        <w:t>PI</w:t>
      </w:r>
      <w:r>
        <w:rPr>
          <w:color w:val="000000" w:themeColor="text1"/>
        </w:rPr>
        <w:t xml:space="preserve"> = Preço inicial </w:t>
      </w:r>
    </w:p>
    <w:p>
      <w:pPr>
        <w:pStyle w:val="3"/>
        <w:tabs>
          <w:tab w:val="left" w:pos="1134"/>
        </w:tabs>
        <w:spacing w:before="120" w:beforeAutospacing="0" w:after="120" w:afterAutospacing="0"/>
        <w:ind w:left="1134"/>
        <w:jc w:val="both"/>
        <w:textAlignment w:val="baseline"/>
        <w:rPr>
          <w:color w:val="000000" w:themeColor="text1"/>
        </w:rPr>
      </w:pPr>
      <w:r>
        <w:rPr>
          <w:b/>
          <w:bCs/>
          <w:color w:val="000000" w:themeColor="text1"/>
        </w:rPr>
        <w:t xml:space="preserve">IR </w:t>
      </w:r>
      <w:r>
        <w:rPr>
          <w:color w:val="000000" w:themeColor="text1"/>
        </w:rPr>
        <w:t>= Índice de reajuste</w:t>
      </w:r>
    </w:p>
    <w:p>
      <w:pPr>
        <w:pStyle w:val="28"/>
        <w:numPr>
          <w:ilvl w:val="1"/>
          <w:numId w:val="12"/>
        </w:numPr>
        <w:tabs>
          <w:tab w:val="left" w:pos="993"/>
        </w:tabs>
        <w:spacing w:before="120" w:beforeAutospacing="0" w:after="0" w:afterAutospacing="0"/>
        <w:ind w:left="0" w:firstLine="567"/>
        <w:jc w:val="both"/>
        <w:rPr>
          <w:color w:val="000000" w:themeColor="text1"/>
        </w:rPr>
      </w:pPr>
      <w:r>
        <w:rPr>
          <w:color w:val="000000" w:themeColor="text1"/>
        </w:rPr>
        <w:t xml:space="preserve">Na </w:t>
      </w:r>
      <w:r>
        <w:rPr>
          <w:color w:val="000000"/>
        </w:rPr>
        <w:t>hipótese</w:t>
      </w:r>
      <w:r>
        <w:rPr>
          <w:color w:val="000000" w:themeColor="text1"/>
        </w:rPr>
        <w:t xml:space="preserve"> de reajuste, a Contratada será consultada sobre a possibilidade de renúncia ao </w:t>
      </w:r>
      <w:r>
        <w:rPr>
          <w:color w:val="000000"/>
        </w:rPr>
        <w:t>reajuste</w:t>
      </w:r>
      <w:r>
        <w:rPr>
          <w:color w:val="000000" w:themeColor="text1"/>
        </w:rPr>
        <w:t>.</w:t>
      </w:r>
    </w:p>
    <w:p>
      <w:pPr>
        <w:pStyle w:val="28"/>
        <w:numPr>
          <w:ilvl w:val="1"/>
          <w:numId w:val="12"/>
        </w:numPr>
        <w:tabs>
          <w:tab w:val="left" w:pos="993"/>
        </w:tabs>
        <w:spacing w:before="0" w:beforeAutospacing="0" w:after="0" w:afterAutospacing="0"/>
        <w:ind w:left="0" w:firstLine="567"/>
        <w:jc w:val="both"/>
      </w:pPr>
      <w:r>
        <w:t>A Contratada somente terá direito a reajustes se não tiver dado causa a atrasos no cumprimento de suas obrigações.</w:t>
      </w:r>
    </w:p>
    <w:p>
      <w:pPr>
        <w:pStyle w:val="28"/>
        <w:numPr>
          <w:ilvl w:val="1"/>
          <w:numId w:val="12"/>
        </w:numPr>
        <w:tabs>
          <w:tab w:val="left" w:pos="993"/>
        </w:tabs>
        <w:spacing w:before="0" w:beforeAutospacing="0" w:after="0" w:afterAutospacing="0"/>
        <w:ind w:left="0" w:firstLine="567"/>
        <w:jc w:val="both"/>
      </w:pPr>
      <w:r>
        <w:t>Nos reajustes subsequentes ao primeiro, o interregno mínimo de um ano será contado a partir dos efeitos financeiros do último reajuste.</w:t>
      </w:r>
    </w:p>
    <w:p>
      <w:pPr>
        <w:pStyle w:val="28"/>
        <w:numPr>
          <w:ilvl w:val="1"/>
          <w:numId w:val="12"/>
        </w:numPr>
        <w:tabs>
          <w:tab w:val="left" w:pos="993"/>
        </w:tabs>
        <w:spacing w:before="0" w:beforeAutospacing="0" w:after="0" w:afterAutospacing="0"/>
        <w:ind w:left="0" w:firstLine="567"/>
        <w:jc w:val="both"/>
      </w:pPr>
      <w:r>
        <w:t>Fica a Contratada obrigada a apresentar memória de cálculo referente ao reajustamento de preços do valor remanescente, sempre que este ocorrer.</w:t>
      </w:r>
    </w:p>
    <w:p>
      <w:pPr>
        <w:pStyle w:val="28"/>
        <w:numPr>
          <w:ilvl w:val="1"/>
          <w:numId w:val="12"/>
        </w:numPr>
        <w:tabs>
          <w:tab w:val="left" w:pos="993"/>
        </w:tabs>
        <w:spacing w:before="0" w:beforeAutospacing="0" w:after="0" w:afterAutospacing="0"/>
        <w:ind w:left="0" w:firstLine="567"/>
        <w:jc w:val="both"/>
      </w:pPr>
      <w:r>
        <w:t>Caso o(s) índice(s) estabelecido(s) para reajustamento venha(m) a ser extinto(s) ou de qualquer forma não possa(m) mais ser utilizado(s), será(ão) adotado(s), em substituição, o(s) que vier(em) a ser determinado(s) pela legislação então em vigor.</w:t>
      </w:r>
    </w:p>
    <w:p>
      <w:pPr>
        <w:pStyle w:val="28"/>
        <w:numPr>
          <w:ilvl w:val="1"/>
          <w:numId w:val="12"/>
        </w:numPr>
        <w:tabs>
          <w:tab w:val="left" w:pos="993"/>
        </w:tabs>
        <w:spacing w:before="0" w:beforeAutospacing="0" w:after="0" w:afterAutospacing="0"/>
        <w:ind w:left="0" w:firstLine="567"/>
        <w:jc w:val="both"/>
      </w:pPr>
      <w:r>
        <w:t xml:space="preserve">Na ausência de previsão legal quanto ao índice substituto, as partes elegerão novo índice oficial, para reajustamento do preço do valor remanescente, por meio de termo aditivo. </w:t>
      </w:r>
    </w:p>
    <w:p>
      <w:pPr>
        <w:pStyle w:val="28"/>
        <w:numPr>
          <w:ilvl w:val="1"/>
          <w:numId w:val="12"/>
        </w:numPr>
        <w:tabs>
          <w:tab w:val="left" w:pos="993"/>
        </w:tabs>
        <w:spacing w:before="0" w:beforeAutospacing="0" w:after="0" w:afterAutospacing="0"/>
        <w:ind w:left="0" w:firstLine="567"/>
        <w:jc w:val="both"/>
      </w:pPr>
      <w:r>
        <w:t>O reajuste será realizado por apostilamento.</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SANÇÕES ADMINISTRATIVAS</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XIV</w:t>
      </w:r>
      <w:r>
        <w:rPr>
          <w:rStyle w:val="54"/>
        </w:rPr>
        <w:fldChar w:fldCharType="end"/>
      </w:r>
      <w:r>
        <w:rPr>
          <w:rStyle w:val="54"/>
        </w:rPr>
        <w:t>, da Lei Federal nº 14.133, de 2021</w:t>
      </w:r>
      <w:r>
        <w:t>)</w:t>
      </w:r>
    </w:p>
    <w:p>
      <w:pPr>
        <w:pStyle w:val="28"/>
        <w:numPr>
          <w:ilvl w:val="1"/>
          <w:numId w:val="12"/>
        </w:numPr>
        <w:tabs>
          <w:tab w:val="left" w:pos="993"/>
        </w:tabs>
        <w:spacing w:before="0" w:beforeAutospacing="0" w:after="0" w:afterAutospacing="0"/>
        <w:ind w:left="0" w:firstLine="567"/>
        <w:jc w:val="both"/>
        <w:rPr>
          <w:color w:val="000000"/>
        </w:rPr>
      </w:pPr>
      <w:r>
        <w:rPr>
          <w:color w:val="000000"/>
        </w:rPr>
        <w:t xml:space="preserve">No </w:t>
      </w:r>
      <w:r>
        <w:t>caso</w:t>
      </w:r>
      <w:r>
        <w:rPr>
          <w:color w:val="000000"/>
        </w:rPr>
        <w:t xml:space="preserve"> de a Contratada incorrer em uma ou mais condutas tipificadas no </w:t>
      </w:r>
      <w:r>
        <w:fldChar w:fldCharType="begin"/>
      </w:r>
      <w:r>
        <w:rPr>
          <w:rStyle w:val="54"/>
        </w:rPr>
        <w:instrText xml:space="preserve"> HYPERLINK "https://www.planalto.gov.br/ccivil_03/_ato2019-2022/2021/lei/l14133.htm" \l "art155"</w:instrText>
      </w:r>
      <w:r>
        <w:rPr>
          <w:rStyle w:val="54"/>
        </w:rPr>
        <w:fldChar w:fldCharType="separate"/>
      </w:r>
      <w:r>
        <w:rPr>
          <w:rStyle w:val="54"/>
        </w:rPr>
        <w:t>art. 155 da Lei Federal nº 14.133, de 2021</w:t>
      </w:r>
      <w:r>
        <w:rPr>
          <w:rStyle w:val="54"/>
        </w:rPr>
        <w:fldChar w:fldCharType="end"/>
      </w:r>
      <w:r>
        <w:rPr>
          <w:color w:val="000000"/>
        </w:rPr>
        <w:t xml:space="preserve">, será responsabilizada administrativamente em uma ou mais das sanções previstas no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da Lei Federal nº 14.133, de 2021</w:t>
      </w:r>
      <w:r>
        <w:rPr>
          <w:rStyle w:val="54"/>
        </w:rPr>
        <w:fldChar w:fldCharType="end"/>
      </w:r>
      <w:r>
        <w:rPr>
          <w:color w:val="000000"/>
        </w:rPr>
        <w:t>, garantido o direito à ampla defesa e contraditório.</w:t>
      </w:r>
    </w:p>
    <w:p>
      <w:pPr>
        <w:pStyle w:val="28"/>
        <w:numPr>
          <w:ilvl w:val="1"/>
          <w:numId w:val="12"/>
        </w:numPr>
        <w:tabs>
          <w:tab w:val="left" w:pos="993"/>
        </w:tabs>
        <w:spacing w:before="0" w:beforeAutospacing="0" w:after="0" w:afterAutospacing="0"/>
        <w:ind w:left="0" w:firstLine="567"/>
        <w:jc w:val="both"/>
        <w:rPr>
          <w:color w:val="000000"/>
        </w:rPr>
      </w:pPr>
      <w:r>
        <w:rPr>
          <w:color w:val="000000"/>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28"/>
        <w:numPr>
          <w:ilvl w:val="1"/>
          <w:numId w:val="12"/>
        </w:numPr>
        <w:tabs>
          <w:tab w:val="left" w:pos="993"/>
        </w:tabs>
        <w:spacing w:before="0" w:beforeAutospacing="0" w:after="0" w:afterAutospacing="0"/>
        <w:ind w:left="0" w:firstLine="567"/>
        <w:jc w:val="both"/>
        <w:rPr>
          <w:color w:val="000000"/>
        </w:rPr>
      </w:pPr>
      <w:r>
        <w:rPr>
          <w:color w:val="000000"/>
        </w:rPr>
        <w:t xml:space="preserve">Na </w:t>
      </w:r>
      <w:r>
        <w:t>aplicação</w:t>
      </w:r>
      <w:r>
        <w:rPr>
          <w:color w:val="000000"/>
        </w:rPr>
        <w:t xml:space="preserve"> das sanções serão considerados (</w:t>
      </w:r>
      <w:r>
        <w:fldChar w:fldCharType="begin"/>
      </w:r>
      <w:r>
        <w:rPr>
          <w:rStyle w:val="54"/>
        </w:rPr>
        <w:instrText xml:space="preserve"> HYPERLINK "https://www.planalto.gov.br/ccivil_03/_ato2019-2022/2021/lei/l14133.htm" \l "art156"</w:instrText>
      </w:r>
      <w:r>
        <w:rPr>
          <w:rStyle w:val="54"/>
        </w:rPr>
        <w:fldChar w:fldCharType="separate"/>
      </w:r>
      <w:r>
        <w:rPr>
          <w:rStyle w:val="54"/>
        </w:rPr>
        <w:t>art. 156, § 1º, da Lei Federal nº 14.133, de 2021</w:t>
      </w:r>
      <w:r>
        <w:rPr>
          <w:rStyle w:val="54"/>
        </w:rPr>
        <w:fldChar w:fldCharType="end"/>
      </w:r>
      <w:r>
        <w:rPr>
          <w:color w:val="000000"/>
        </w:rPr>
        <w:t>):</w:t>
      </w:r>
    </w:p>
    <w:p>
      <w:pPr>
        <w:pStyle w:val="3"/>
        <w:numPr>
          <w:ilvl w:val="2"/>
          <w:numId w:val="12"/>
        </w:numPr>
        <w:tabs>
          <w:tab w:val="left" w:pos="1134"/>
        </w:tabs>
        <w:spacing w:before="120" w:beforeAutospacing="0" w:after="0" w:afterAutospacing="0"/>
        <w:jc w:val="both"/>
        <w:textAlignment w:val="baseline"/>
        <w:rPr>
          <w:color w:val="000000"/>
        </w:rPr>
      </w:pPr>
      <w:r>
        <w:rPr>
          <w:color w:val="000000"/>
        </w:rPr>
        <w:t>a natureza e a gravidade da infração cometida;</w:t>
      </w:r>
    </w:p>
    <w:p>
      <w:pPr>
        <w:pStyle w:val="3"/>
        <w:numPr>
          <w:ilvl w:val="2"/>
          <w:numId w:val="12"/>
        </w:numPr>
        <w:tabs>
          <w:tab w:val="left" w:pos="1134"/>
        </w:tabs>
        <w:spacing w:before="0" w:beforeAutospacing="0" w:after="0" w:afterAutospacing="0"/>
        <w:jc w:val="both"/>
        <w:textAlignment w:val="baseline"/>
        <w:rPr>
          <w:color w:val="000000"/>
        </w:rPr>
      </w:pPr>
      <w:r>
        <w:rPr>
          <w:color w:val="000000"/>
        </w:rPr>
        <w:t>as peculiaridades do caso concreto;</w:t>
      </w:r>
    </w:p>
    <w:p>
      <w:pPr>
        <w:pStyle w:val="3"/>
        <w:numPr>
          <w:ilvl w:val="2"/>
          <w:numId w:val="12"/>
        </w:numPr>
        <w:tabs>
          <w:tab w:val="left" w:pos="1134"/>
        </w:tabs>
        <w:spacing w:before="0" w:beforeAutospacing="0" w:after="0" w:afterAutospacing="0"/>
        <w:jc w:val="both"/>
        <w:textAlignment w:val="baseline"/>
        <w:rPr>
          <w:color w:val="000000"/>
        </w:rPr>
      </w:pPr>
      <w:r>
        <w:rPr>
          <w:color w:val="000000"/>
        </w:rPr>
        <w:t>as circunstâncias agravantes ou atenuantes;</w:t>
      </w:r>
    </w:p>
    <w:p>
      <w:pPr>
        <w:pStyle w:val="3"/>
        <w:numPr>
          <w:ilvl w:val="2"/>
          <w:numId w:val="12"/>
        </w:numPr>
        <w:tabs>
          <w:tab w:val="left" w:pos="1134"/>
        </w:tabs>
        <w:spacing w:before="0" w:beforeAutospacing="0" w:after="0" w:afterAutospacing="0"/>
        <w:jc w:val="both"/>
        <w:textAlignment w:val="baseline"/>
        <w:rPr>
          <w:color w:val="000000"/>
        </w:rPr>
      </w:pPr>
      <w:r>
        <w:rPr>
          <w:color w:val="000000"/>
        </w:rPr>
        <w:t>os danos que dela provierem para a Administração Pública;</w:t>
      </w:r>
    </w:p>
    <w:p>
      <w:pPr>
        <w:pStyle w:val="3"/>
        <w:numPr>
          <w:ilvl w:val="2"/>
          <w:numId w:val="12"/>
        </w:numPr>
        <w:tabs>
          <w:tab w:val="left" w:pos="1134"/>
        </w:tabs>
        <w:spacing w:before="0" w:beforeAutospacing="0" w:after="0" w:afterAutospacing="0"/>
        <w:jc w:val="both"/>
        <w:textAlignment w:val="baseline"/>
        <w:rPr>
          <w:color w:val="000000"/>
        </w:rPr>
      </w:pPr>
      <w:r>
        <w:rPr>
          <w:color w:val="000000"/>
        </w:rPr>
        <w:t>a implantação ou o aperfeiçoamento de programa de integridade, conforme normas e orientações dos órgãos de controle.</w:t>
      </w:r>
    </w:p>
    <w:p>
      <w:pPr>
        <w:pStyle w:val="28"/>
        <w:numPr>
          <w:ilvl w:val="1"/>
          <w:numId w:val="12"/>
        </w:numPr>
        <w:tabs>
          <w:tab w:val="left" w:pos="993"/>
        </w:tabs>
        <w:spacing w:before="120" w:beforeAutospacing="0" w:after="0" w:afterAutospacing="0"/>
        <w:ind w:left="0" w:firstLine="567"/>
        <w:jc w:val="both"/>
        <w:rPr>
          <w:color w:val="000000"/>
        </w:rPr>
      </w:pPr>
      <w:r>
        <w:t>As sanções de advertência (</w:t>
      </w:r>
      <w:r>
        <w:fldChar w:fldCharType="begin"/>
      </w:r>
      <w:r>
        <w:rPr>
          <w:rStyle w:val="54"/>
        </w:rPr>
        <w:instrText xml:space="preserve"> HYPERLINK "http://www.planalto.gov.br/ccivil_03/_ato2019-2022/2021/lei/L14133.htm" \l "art156"</w:instrText>
      </w:r>
      <w:r>
        <w:rPr>
          <w:rStyle w:val="54"/>
        </w:rPr>
        <w:fldChar w:fldCharType="separate"/>
      </w:r>
      <w:r>
        <w:rPr>
          <w:rStyle w:val="54"/>
        </w:rPr>
        <w:t>art. 156, I, da Lei Federal nº 14.133, de 2021</w:t>
      </w:r>
      <w:r>
        <w:rPr>
          <w:rStyle w:val="54"/>
        </w:rPr>
        <w:fldChar w:fldCharType="end"/>
      </w:r>
      <w:r>
        <w:t>), impedimento de licitar e contratar (</w:t>
      </w:r>
      <w:r>
        <w:fldChar w:fldCharType="begin"/>
      </w:r>
      <w:r>
        <w:rPr>
          <w:rStyle w:val="54"/>
        </w:rPr>
        <w:instrText xml:space="preserve"> HYPERLINK "http://www.planalto.gov.br/ccivil_03/_ato2019-2022/2021/lei/L14133.htm" \l "art156"</w:instrText>
      </w:r>
      <w:r>
        <w:rPr>
          <w:rStyle w:val="54"/>
        </w:rPr>
        <w:fldChar w:fldCharType="separate"/>
      </w:r>
      <w:r>
        <w:rPr>
          <w:rStyle w:val="54"/>
        </w:rPr>
        <w:t>art. 156, III, da Lei Federal nº 14.133, de 2021</w:t>
      </w:r>
      <w:r>
        <w:rPr>
          <w:rStyle w:val="54"/>
        </w:rPr>
        <w:fldChar w:fldCharType="end"/>
      </w:r>
      <w:r>
        <w:t>) e declaração de inidoneidade para licitar ou contratar (</w:t>
      </w:r>
      <w:r>
        <w:fldChar w:fldCharType="begin"/>
      </w:r>
      <w:r>
        <w:rPr>
          <w:rStyle w:val="54"/>
        </w:rPr>
        <w:instrText xml:space="preserve"> HYPERLINK "http://www.planalto.gov.br/ccivil_03/_ato2019-2022/2021/lei/L14133.htm" \l "art156"</w:instrText>
      </w:r>
      <w:r>
        <w:rPr>
          <w:rStyle w:val="54"/>
        </w:rPr>
        <w:fldChar w:fldCharType="separate"/>
      </w:r>
      <w:r>
        <w:rPr>
          <w:rStyle w:val="54"/>
        </w:rPr>
        <w:t>art. 156, IV, da Lei Federal nº 14.133, de 2021</w:t>
      </w:r>
      <w:r>
        <w:rPr>
          <w:rStyle w:val="54"/>
        </w:rPr>
        <w:fldChar w:fldCharType="end"/>
      </w:r>
      <w:r>
        <w:t>) poderão ser aplicadas, cumulativamente ou não, à penalidade de multa (</w:t>
      </w:r>
      <w:r>
        <w:fldChar w:fldCharType="begin"/>
      </w:r>
      <w:r>
        <w:rPr>
          <w:rStyle w:val="54"/>
        </w:rPr>
        <w:instrText xml:space="preserve"> HYPERLINK "http://www.planalto.gov.br/ccivil_03/_ato2019-2022/2021/lei/L14133.htm" \l "art156"</w:instrText>
      </w:r>
      <w:r>
        <w:rPr>
          <w:rStyle w:val="54"/>
        </w:rPr>
        <w:fldChar w:fldCharType="separate"/>
      </w:r>
      <w:r>
        <w:rPr>
          <w:rStyle w:val="54"/>
        </w:rPr>
        <w:t>art. 156, II,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rPr>
          <w:color w:val="000000"/>
        </w:rPr>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4"/>
        </w:rPr>
        <w:t>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A aplicação das sanções previstas neste Contrato não exclui, em hipótese alguma, a obrigação de reparação integral do dano causado ao Contratante (</w:t>
      </w:r>
      <w:r>
        <w:fldChar w:fldCharType="begin"/>
      </w:r>
      <w:r>
        <w:rPr>
          <w:rStyle w:val="54"/>
        </w:rPr>
        <w:instrText xml:space="preserve"> HYPERLINK "http://www.planalto.gov.br/ccivil_03/_ato2019-2022/2021/lei/L14133.htm" \l "art156§9"</w:instrText>
      </w:r>
      <w:r>
        <w:rPr>
          <w:rStyle w:val="54"/>
        </w:rPr>
        <w:fldChar w:fldCharType="separate"/>
      </w:r>
      <w:r>
        <w:rPr>
          <w:rStyle w:val="54"/>
        </w:rPr>
        <w:t>art. 156, §9º,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Se a multa aplicada e as indenizações cabíveis forem superiores ao valor do pagamento eventualmente devido pelo Contratante à Contratada, além da perda desse valor, a diferença será cobrada judicialmente (</w:t>
      </w:r>
      <w:r>
        <w:fldChar w:fldCharType="begin"/>
      </w:r>
      <w:r>
        <w:rPr>
          <w:rStyle w:val="54"/>
        </w:rPr>
        <w:instrText xml:space="preserve"> HYPERLINK "http://www.planalto.gov.br/ccivil_03/_ato2019-2022/2021/lei/L14133.htm" \l "art156§8"</w:instrText>
      </w:r>
      <w:r>
        <w:rPr>
          <w:rStyle w:val="54"/>
        </w:rPr>
        <w:fldChar w:fldCharType="separate"/>
      </w:r>
      <w:r>
        <w:rPr>
          <w:rStyle w:val="54"/>
        </w:rPr>
        <w:t>art. 156, §8º,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Previamente ao encaminhamento à cobrança judicial, a multa poderá ser recolhida administrativamente no prazo máximo de 30 (trinta) dias úteis, a contar da data do recebimento da comunicação enviada pela autoridade competente.</w:t>
      </w:r>
      <w:bookmarkStart w:id="79" w:name="_Hlk78351618"/>
      <w:bookmarkEnd w:id="79"/>
    </w:p>
    <w:p>
      <w:pPr>
        <w:pStyle w:val="28"/>
        <w:numPr>
          <w:ilvl w:val="1"/>
          <w:numId w:val="12"/>
        </w:numPr>
        <w:tabs>
          <w:tab w:val="left" w:pos="993"/>
        </w:tabs>
        <w:spacing w:before="0" w:beforeAutospacing="0" w:after="0" w:afterAutospacing="0"/>
        <w:ind w:left="0" w:firstLine="567"/>
        <w:jc w:val="both"/>
        <w:rPr>
          <w:color w:val="000000"/>
        </w:rPr>
      </w:pPr>
      <w:r>
        <w:rPr>
          <w:color w:val="000000"/>
        </w:rPr>
        <w:t xml:space="preserve">As </w:t>
      </w:r>
      <w:r>
        <w:t>sanções</w:t>
      </w:r>
      <w:r>
        <w:rPr>
          <w:color w:val="000000"/>
        </w:rPr>
        <w:t xml:space="preserve"> serão registradas e publicadas no Cadastro Nacional de Empresas Inidôneas e </w:t>
      </w:r>
      <w:r>
        <w:rPr>
          <w:color w:val="000000" w:themeColor="text1"/>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4"/>
        </w:rPr>
        <w:instrText xml:space="preserve"> HYPERLINK "https://www.planalto.gov.br/ccivil_03/_ato2019-2022/2021/lei/l14133.htm" \l "art161"</w:instrText>
      </w:r>
      <w:r>
        <w:rPr>
          <w:rStyle w:val="54"/>
        </w:rPr>
        <w:fldChar w:fldCharType="separate"/>
      </w:r>
      <w:r>
        <w:rPr>
          <w:rStyle w:val="54"/>
        </w:rPr>
        <w:t>art. 161 da Lei Federal nº 14.133, de 2021</w:t>
      </w:r>
      <w:r>
        <w:rPr>
          <w:rStyle w:val="54"/>
        </w:rPr>
        <w:fldChar w:fldCharType="end"/>
      </w:r>
      <w:r>
        <w:rPr>
          <w:color w:val="000000"/>
        </w:rPr>
        <w:t>.</w:t>
      </w:r>
    </w:p>
    <w:p>
      <w:pPr>
        <w:pStyle w:val="28"/>
        <w:numPr>
          <w:ilvl w:val="1"/>
          <w:numId w:val="12"/>
        </w:numPr>
        <w:tabs>
          <w:tab w:val="left" w:pos="993"/>
        </w:tabs>
        <w:spacing w:before="0" w:beforeAutospacing="0" w:after="0" w:afterAutospacing="0"/>
        <w:ind w:left="0" w:firstLine="567"/>
        <w:jc w:val="both"/>
      </w:pPr>
      <w: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4"/>
        </w:rPr>
        <w:t>Lei Federal nº 14.133, de 2021</w:t>
      </w:r>
      <w:r>
        <w:rPr>
          <w:rStyle w:val="54"/>
        </w:rPr>
        <w:fldChar w:fldCharType="end"/>
      </w:r>
      <w: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4"/>
        </w:rPr>
        <w:t>Lei Federal nº 12.846, de 2013</w:t>
      </w:r>
      <w:r>
        <w:rPr>
          <w:rStyle w:val="54"/>
        </w:rPr>
        <w:fldChar w:fldCharType="end"/>
      </w:r>
      <w:r>
        <w:t>, serão apurados e julgados conjuntamente, nos mesmos autos, observados o rito procedimental e autoridade competente definidos. (</w:t>
      </w:r>
      <w:r>
        <w:fldChar w:fldCharType="begin"/>
      </w:r>
      <w:r>
        <w:rPr>
          <w:rStyle w:val="54"/>
        </w:rPr>
        <w:instrText xml:space="preserve"> HYPERLINK "http://www.planalto.gov.br/ccivil_03/_ato2019-2022/2021/lei/L14133.htm" \l "art159"</w:instrText>
      </w:r>
      <w:r>
        <w:rPr>
          <w:rStyle w:val="54"/>
        </w:rPr>
        <w:fldChar w:fldCharType="separate"/>
      </w:r>
      <w:r>
        <w:rPr>
          <w:rStyle w:val="54"/>
        </w:rPr>
        <w:t>art. 159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rPr>
          <w:i/>
          <w:iCs/>
        </w:rPr>
      </w:pPr>
      <w: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54"/>
        </w:rPr>
        <w:instrText xml:space="preserve"> HYPERLINK "http://www.planalto.gov.br/ccivil_03/_ato2019-2022/2021/lei/L14133.htm" \l "art160"</w:instrText>
      </w:r>
      <w:r>
        <w:rPr>
          <w:rStyle w:val="54"/>
        </w:rPr>
        <w:fldChar w:fldCharType="separate"/>
      </w:r>
      <w:r>
        <w:rPr>
          <w:rStyle w:val="54"/>
        </w:rPr>
        <w:t>art. 160,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rPr>
          <w:i/>
          <w:iCs/>
        </w:rPr>
      </w:pPr>
      <w:r>
        <w:t xml:space="preserve">As sanções de impedimento de licitar e contratar e declaração de inidoneidade para licitar ou contratar são passíveis de reabilitação na forma do </w:t>
      </w:r>
      <w:r>
        <w:fldChar w:fldCharType="begin"/>
      </w:r>
      <w:r>
        <w:rPr>
          <w:rStyle w:val="54"/>
        </w:rPr>
        <w:instrText xml:space="preserve"> HYPERLINK "http://www.planalto.gov.br/ccivil_03/_ato2019-2022/2021/lei/L14133.htm" \l "art163"</w:instrText>
      </w:r>
      <w:r>
        <w:rPr>
          <w:rStyle w:val="54"/>
        </w:rPr>
        <w:fldChar w:fldCharType="separate"/>
      </w:r>
      <w:r>
        <w:rPr>
          <w:rStyle w:val="54"/>
        </w:rPr>
        <w:t>art. 163 da Lei Federal nº 14.133, de 2021.</w:t>
      </w:r>
      <w:r>
        <w:rPr>
          <w:rStyle w:val="54"/>
        </w:rPr>
        <w:fldChar w:fldCharType="end"/>
      </w:r>
    </w:p>
    <w:p>
      <w:pPr>
        <w:pStyle w:val="28"/>
        <w:numPr>
          <w:ilvl w:val="1"/>
          <w:numId w:val="12"/>
        </w:numPr>
        <w:tabs>
          <w:tab w:val="left" w:pos="993"/>
        </w:tabs>
        <w:spacing w:before="0" w:beforeAutospacing="0" w:after="0" w:afterAutospacing="0"/>
        <w:ind w:left="0" w:firstLine="567"/>
        <w:jc w:val="both"/>
      </w:pPr>
      <w: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54"/>
        </w:rPr>
        <w:t>Instrução Normativa SEGES/ME nº 26, de 13 de abril de 2022</w:t>
      </w:r>
      <w:r>
        <w:rPr>
          <w:rStyle w:val="54"/>
        </w:rPr>
        <w:fldChar w:fldCharType="end"/>
      </w:r>
      <w:r>
        <w:t xml:space="preserve">. </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rStyle w:val="11"/>
          <w:color w:val="000000"/>
        </w:rPr>
      </w:pPr>
      <w:r>
        <w:rPr>
          <w:rStyle w:val="11"/>
          <w:color w:val="000000"/>
        </w:rPr>
        <w:t xml:space="preserve">ALTERAÇÕES </w:t>
      </w:r>
      <w:r>
        <w:rPr>
          <w:rStyle w:val="11"/>
          <w:b w:val="0"/>
          <w:bCs w:val="0"/>
          <w:color w:val="000000"/>
        </w:rPr>
        <w:t>(</w:t>
      </w:r>
      <w:r>
        <w:fldChar w:fldCharType="begin"/>
      </w:r>
      <w:r>
        <w:rPr>
          <w:rStyle w:val="54"/>
        </w:rPr>
        <w:instrText xml:space="preserve"> HYPERLINK "http://www.planalto.gov.br/ccivil_03/_ato2019-2022/2021/lei/L14133.htm" \l "art124"</w:instrText>
      </w:r>
      <w:r>
        <w:rPr>
          <w:rStyle w:val="54"/>
        </w:rPr>
        <w:fldChar w:fldCharType="separate"/>
      </w:r>
      <w:r>
        <w:rPr>
          <w:rStyle w:val="54"/>
        </w:rPr>
        <w:t>arts. 124 a 136 da Lei Federal nº 14.133, de 2021</w:t>
      </w:r>
      <w:r>
        <w:rPr>
          <w:rStyle w:val="54"/>
        </w:rPr>
        <w:fldChar w:fldCharType="end"/>
      </w:r>
      <w:r>
        <w:rPr>
          <w:rStyle w:val="11"/>
          <w:b w:val="0"/>
          <w:bCs w:val="0"/>
          <w:color w:val="000000"/>
        </w:rPr>
        <w:t>)</w:t>
      </w:r>
    </w:p>
    <w:p>
      <w:pPr>
        <w:pStyle w:val="28"/>
        <w:numPr>
          <w:ilvl w:val="1"/>
          <w:numId w:val="12"/>
        </w:numPr>
        <w:tabs>
          <w:tab w:val="left" w:pos="993"/>
        </w:tabs>
        <w:spacing w:before="0" w:beforeAutospacing="0" w:after="0" w:afterAutospacing="0"/>
        <w:ind w:left="0" w:firstLine="567"/>
        <w:jc w:val="both"/>
      </w:pPr>
      <w:r>
        <w:t xml:space="preserve">Eventuais alterações contratuais reger-se-ão pela disciplina dos </w:t>
      </w:r>
      <w:r>
        <w:fldChar w:fldCharType="begin"/>
      </w:r>
      <w:r>
        <w:rPr>
          <w:rStyle w:val="54"/>
        </w:rPr>
        <w:instrText xml:space="preserve"> HYPERLINK "http://www.planalto.gov.br/ccivil_03/_ato2019-2022/2021/lei/L14133.htm" \l "art124"</w:instrText>
      </w:r>
      <w:r>
        <w:rPr>
          <w:rStyle w:val="54"/>
        </w:rPr>
        <w:fldChar w:fldCharType="separate"/>
      </w:r>
      <w:r>
        <w:rPr>
          <w:rStyle w:val="54"/>
        </w:rPr>
        <w:t>arts. 124 a 136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A Contratada é obrigada a aceitar, nas mesmas condições contratuais, os acréscimos ou supressões que se fizerem necessários, até o limite de 25% (vinte e cinco por cento) do valor inicial atualizado do contrato.</w:t>
      </w:r>
    </w:p>
    <w:p>
      <w:pPr>
        <w:pStyle w:val="28"/>
        <w:numPr>
          <w:ilvl w:val="1"/>
          <w:numId w:val="12"/>
        </w:numPr>
        <w:tabs>
          <w:tab w:val="left" w:pos="993"/>
        </w:tabs>
        <w:spacing w:before="0" w:beforeAutospacing="0" w:after="0" w:afterAutospacing="0"/>
        <w:ind w:left="0" w:firstLine="567"/>
        <w:jc w:val="both"/>
      </w:pPr>
      <w: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54"/>
        </w:rPr>
        <w:instrText xml:space="preserve"> HYPERLINK "http://www.planalto.gov.br/ccivil_03/_ato2019-2022/2021/lei/L14133.htm" \l "art132"</w:instrText>
      </w:r>
      <w:r>
        <w:rPr>
          <w:rStyle w:val="54"/>
        </w:rPr>
        <w:fldChar w:fldCharType="separate"/>
      </w:r>
      <w:r>
        <w:rPr>
          <w:rStyle w:val="54"/>
        </w:rPr>
        <w:t>art. 132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 xml:space="preserve">Registros que não caracterizam alteração do contrato podem ser realizados por simples apostila, dispensada a celebração de termo aditivo, na forma do </w:t>
      </w:r>
      <w:r>
        <w:fldChar w:fldCharType="begin"/>
      </w:r>
      <w:r>
        <w:rPr>
          <w:rStyle w:val="54"/>
        </w:rPr>
        <w:instrText xml:space="preserve"> HYPERLINK "http://www.planalto.gov.br/ccivil_03/_ato2019-2022/2021/lei/L14133.htm" \l "art136"</w:instrText>
      </w:r>
      <w:r>
        <w:rPr>
          <w:rStyle w:val="54"/>
        </w:rPr>
        <w:fldChar w:fldCharType="separate"/>
      </w:r>
      <w:r>
        <w:rPr>
          <w:rStyle w:val="54"/>
        </w:rPr>
        <w:t>art. 136 da Lei Federal nº 14.133, de 2021</w:t>
      </w:r>
      <w:r>
        <w:rPr>
          <w:rStyle w:val="54"/>
        </w:rPr>
        <w:fldChar w:fldCharType="end"/>
      </w:r>
      <w:r>
        <w:t>.</w:t>
      </w:r>
    </w:p>
    <w:p>
      <w:pPr>
        <w:pStyle w:val="28"/>
        <w:numPr>
          <w:ilvl w:val="0"/>
          <w:numId w:val="12"/>
        </w:numPr>
        <w:pBdr>
          <w:bottom w:val="single" w:color="000000" w:themeColor="dark1" w:sz="4" w:space="1"/>
        </w:pBdr>
        <w:shd w:val="clear" w:color="auto" w:fill="BEBEBE" w:themeFill="background1" w:themeFillShade="BF"/>
        <w:spacing w:before="0" w:beforeAutospacing="0" w:after="0" w:afterAutospacing="0"/>
        <w:jc w:val="both"/>
        <w:rPr>
          <w:color w:val="FFFFFF" w:themeColor="background1"/>
        </w:rPr>
      </w:pPr>
      <w:r>
        <w:rPr>
          <w:rStyle w:val="11"/>
          <w:color w:val="000000"/>
        </w:rPr>
        <w:t>DA EXTINÇÃO CONTRATUAL</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XIX</w:t>
      </w:r>
      <w:r>
        <w:rPr>
          <w:rStyle w:val="54"/>
        </w:rPr>
        <w:fldChar w:fldCharType="end"/>
      </w:r>
      <w:r>
        <w:rPr>
          <w:rStyle w:val="54"/>
        </w:rPr>
        <w:t>, da Lei Federal nº 14.133, de 2021</w:t>
      </w:r>
      <w:r>
        <w:t>)</w:t>
      </w:r>
    </w:p>
    <w:p>
      <w:pPr>
        <w:pStyle w:val="28"/>
        <w:numPr>
          <w:ilvl w:val="1"/>
          <w:numId w:val="12"/>
        </w:numPr>
        <w:tabs>
          <w:tab w:val="left" w:pos="993"/>
        </w:tabs>
        <w:spacing w:before="0" w:beforeAutospacing="0" w:after="0" w:afterAutospacing="0"/>
        <w:ind w:left="0" w:firstLine="567"/>
        <w:jc w:val="both"/>
      </w:pPr>
      <w:r>
        <w:t>O contrato será extinto quando cumpridas as obrigações de ambas as partes, ainda que isso ocorra antes do prazo estipulado para tanto.</w:t>
      </w:r>
    </w:p>
    <w:p>
      <w:pPr>
        <w:pStyle w:val="28"/>
        <w:numPr>
          <w:ilvl w:val="1"/>
          <w:numId w:val="12"/>
        </w:numPr>
        <w:tabs>
          <w:tab w:val="left" w:pos="993"/>
        </w:tabs>
        <w:spacing w:before="0" w:beforeAutospacing="0" w:after="0" w:afterAutospacing="0"/>
        <w:ind w:left="0" w:firstLine="567"/>
        <w:jc w:val="both"/>
      </w:pPr>
      <w: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54"/>
        </w:rPr>
        <w:instrText xml:space="preserve"> HYPERLINK "http://www.planalto.gov.br/ccivil_03/_ato2019-2022/2021/lei/L14133.htm" \l "art163"</w:instrText>
      </w:r>
      <w:r>
        <w:rPr>
          <w:rStyle w:val="54"/>
        </w:rPr>
        <w:fldChar w:fldCharType="separate"/>
      </w:r>
      <w:r>
        <w:rPr>
          <w:rStyle w:val="54"/>
        </w:rPr>
        <w:t>art. 111 da Lei Federal nº 14.133, de 2021</w:t>
      </w:r>
      <w:r>
        <w:rPr>
          <w:rStyle w:val="54"/>
        </w:rPr>
        <w:fldChar w:fldCharType="end"/>
      </w:r>
      <w:r>
        <w:t>)</w:t>
      </w:r>
    </w:p>
    <w:p>
      <w:pPr>
        <w:pStyle w:val="28"/>
        <w:numPr>
          <w:ilvl w:val="1"/>
          <w:numId w:val="12"/>
        </w:numPr>
        <w:tabs>
          <w:tab w:val="left" w:pos="993"/>
        </w:tabs>
        <w:spacing w:before="0" w:beforeAutospacing="0" w:after="0" w:afterAutospacing="0"/>
        <w:ind w:left="0" w:firstLine="567"/>
        <w:jc w:val="both"/>
      </w:pPr>
      <w:r>
        <w:t>Quando a não conclusão do contrato referida no item anterior decorrer de culpa da Contratada:</w:t>
      </w:r>
    </w:p>
    <w:p>
      <w:pPr>
        <w:pStyle w:val="28"/>
        <w:numPr>
          <w:ilvl w:val="2"/>
          <w:numId w:val="12"/>
        </w:numPr>
        <w:tabs>
          <w:tab w:val="left" w:pos="993"/>
        </w:tabs>
        <w:spacing w:before="0" w:beforeAutospacing="0" w:after="0" w:afterAutospacing="0"/>
        <w:jc w:val="both"/>
      </w:pPr>
      <w:r>
        <w:t>ficará ele constituído em mora, sendo-lhe aplicáveis as respectivas sanções administrativas; e</w:t>
      </w:r>
    </w:p>
    <w:p>
      <w:pPr>
        <w:pStyle w:val="28"/>
        <w:numPr>
          <w:ilvl w:val="2"/>
          <w:numId w:val="12"/>
        </w:numPr>
        <w:tabs>
          <w:tab w:val="left" w:pos="993"/>
        </w:tabs>
        <w:spacing w:before="0" w:beforeAutospacing="0" w:after="0" w:afterAutospacing="0"/>
        <w:jc w:val="both"/>
      </w:pPr>
      <w:r>
        <w:t>poderá a Administração optar pela extinção do contrato e, nesse caso, adotará as medidas admitidas em lei para a continuidade da execução contratual.</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t xml:space="preserve">O contrato poderá ser extinto antes de cumpridas as obrigações nele estipuladas, ou antes do prazo nele fixado, por algum dos motivos previstos no </w:t>
      </w:r>
      <w:r>
        <w:fldChar w:fldCharType="begin"/>
      </w:r>
      <w:r>
        <w:rPr>
          <w:rStyle w:val="54"/>
        </w:rPr>
        <w:instrText xml:space="preserve"> HYPERLINK "http://www.planalto.gov.br/ccivil_03/_ato2019-2022/2021/lei/L14133.htm" \l "art137"</w:instrText>
      </w:r>
      <w:r>
        <w:rPr>
          <w:rStyle w:val="54"/>
        </w:rPr>
        <w:fldChar w:fldCharType="separate"/>
      </w:r>
      <w:r>
        <w:rPr>
          <w:rStyle w:val="54"/>
        </w:rPr>
        <w:t>artigo 137 da Lei Federal nº 14.133/21</w:t>
      </w:r>
      <w:r>
        <w:rPr>
          <w:rStyle w:val="54"/>
        </w:rPr>
        <w:fldChar w:fldCharType="end"/>
      </w:r>
      <w:r>
        <w:t xml:space="preserve">, bem como amigavelmente, </w:t>
      </w:r>
      <w:r>
        <w:rPr>
          <w:color w:val="000000" w:themeColor="text1"/>
        </w:rPr>
        <w:t xml:space="preserve">assegurados o contraditório e a ampla defesa, </w:t>
      </w:r>
      <w:r>
        <w:t xml:space="preserve">aplicando-se também os </w:t>
      </w:r>
      <w:r>
        <w:fldChar w:fldCharType="begin"/>
      </w:r>
      <w:r>
        <w:rPr>
          <w:rStyle w:val="54"/>
        </w:rPr>
        <w:instrText xml:space="preserve"> HYPERLINK "http://www.planalto.gov.br/ccivil_03/_ato2019-2022/2021/lei/L14133.htm" \l "art138"</w:instrText>
      </w:r>
      <w:r>
        <w:rPr>
          <w:rStyle w:val="54"/>
        </w:rPr>
        <w:fldChar w:fldCharType="separate"/>
      </w:r>
      <w:r>
        <w:rPr>
          <w:rStyle w:val="54"/>
        </w:rPr>
        <w:t>artigos 138 e 139</w:t>
      </w:r>
      <w:r>
        <w:rPr>
          <w:rStyle w:val="54"/>
        </w:rPr>
        <w:fldChar w:fldCharType="end"/>
      </w:r>
      <w:r>
        <w:rPr>
          <w:rStyle w:val="54"/>
        </w:rPr>
        <w:t xml:space="preserve"> da Lei Federal nº 14.133, de 2021</w:t>
      </w:r>
      <w:r>
        <w:t>.</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t>A alteração social ou a modificação da finalidade ou da estrutura da contratada não ensejará a extinção se não restringir sua capacidade de concluir o contrato. (</w:t>
      </w:r>
      <w:r>
        <w:fldChar w:fldCharType="begin"/>
      </w:r>
      <w:r>
        <w:rPr>
          <w:rStyle w:val="54"/>
        </w:rPr>
        <w:instrText xml:space="preserve"> HYPERLINK "http://www.planalto.gov.br/ccivil_03/_ato2019-2022/2021/lei/L14133.htm" \l "art137"</w:instrText>
      </w:r>
      <w:r>
        <w:rPr>
          <w:rStyle w:val="54"/>
        </w:rPr>
        <w:fldChar w:fldCharType="separate"/>
      </w:r>
      <w:r>
        <w:rPr>
          <w:rStyle w:val="54"/>
        </w:rPr>
        <w:t>art. 137, III, da Lei Federal nº 14.133, de 2021</w:t>
      </w:r>
      <w:r>
        <w:rPr>
          <w:rStyle w:val="54"/>
        </w:rPr>
        <w:fldChar w:fldCharType="end"/>
      </w:r>
      <w:r>
        <w:t>)</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rPr>
          <w:color w:val="000000" w:themeColor="text1"/>
        </w:rPr>
        <w:t xml:space="preserve">Se a operação </w:t>
      </w:r>
      <w:r>
        <w:t>implicar mudança da pessoa jurídica contratada, deverá ser formalizado termo aditivo para alteração subjetiva.</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t>O termo de extinção, sempre que possível, será precedido:</w:t>
      </w:r>
    </w:p>
    <w:p>
      <w:pPr>
        <w:pStyle w:val="28"/>
        <w:keepNext w:val="0"/>
        <w:keepLines w:val="0"/>
        <w:pageBreakBefore w:val="0"/>
        <w:widowControl/>
        <w:numPr>
          <w:ilvl w:val="2"/>
          <w:numId w:val="12"/>
        </w:numPr>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pPr>
      <w:r>
        <w:t>Balanço dos eventos contratuais já cumpridos ou parcialmente cumpridos;</w:t>
      </w:r>
    </w:p>
    <w:p>
      <w:pPr>
        <w:pStyle w:val="28"/>
        <w:keepNext w:val="0"/>
        <w:keepLines w:val="0"/>
        <w:pageBreakBefore w:val="0"/>
        <w:widowControl/>
        <w:numPr>
          <w:ilvl w:val="2"/>
          <w:numId w:val="12"/>
        </w:numPr>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pPr>
      <w:r>
        <w:t>Relação dos pagamentos já efetuados e ainda devidos;</w:t>
      </w:r>
    </w:p>
    <w:p>
      <w:pPr>
        <w:pStyle w:val="28"/>
        <w:keepNext w:val="0"/>
        <w:keepLines w:val="0"/>
        <w:pageBreakBefore w:val="0"/>
        <w:widowControl/>
        <w:numPr>
          <w:ilvl w:val="2"/>
          <w:numId w:val="12"/>
        </w:numPr>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pPr>
      <w:r>
        <w:t>Indenizações e multas.</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t>A extinção do contrato não configura óbice para o reconhecimento do desequilíbrio econômico-financeiro, hipótese em que será concedida indenização por meio de termo indenizatório (</w:t>
      </w:r>
      <w:r>
        <w:fldChar w:fldCharType="begin"/>
      </w:r>
      <w:r>
        <w:rPr>
          <w:rStyle w:val="54"/>
        </w:rPr>
        <w:instrText xml:space="preserve"> HYPERLINK "http://www.planalto.gov.br/ccivil_03/_ato2019-2022/2021/lei/L14133.htm" \l "art131"</w:instrText>
      </w:r>
      <w:r>
        <w:rPr>
          <w:rStyle w:val="54"/>
        </w:rPr>
        <w:fldChar w:fldCharType="separate"/>
      </w:r>
      <w:r>
        <w:rPr>
          <w:rStyle w:val="54"/>
        </w:rPr>
        <w:t xml:space="preserve">art. 131, </w:t>
      </w:r>
      <w:r>
        <w:rPr>
          <w:rStyle w:val="54"/>
        </w:rPr>
        <w:fldChar w:fldCharType="end"/>
      </w:r>
      <w:r>
        <w:rPr>
          <w:rStyle w:val="54"/>
          <w:i/>
          <w:iCs/>
        </w:rPr>
        <w:t xml:space="preserve">caput, </w:t>
      </w:r>
      <w:r>
        <w:rPr>
          <w:rStyle w:val="54"/>
        </w:rPr>
        <w:t>da Lei Federal nº 14.133, de 2021).</w:t>
      </w:r>
      <w:r>
        <w:t xml:space="preserve"> </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54"/>
        </w:rPr>
        <w:instrText xml:space="preserve"> HYPERLINK "http://www.planalto.gov.br/ccivil_03/_ato2019-2022/2021/lei/L14133.htm" \l "art14"</w:instrText>
      </w:r>
      <w:r>
        <w:rPr>
          <w:rStyle w:val="54"/>
        </w:rPr>
        <w:fldChar w:fldCharType="separate"/>
      </w:r>
      <w:r>
        <w:rPr>
          <w:rStyle w:val="54"/>
        </w:rPr>
        <w:t>art. 14, inciso IV, da Lei Federal nº 14.133, de 2021</w:t>
      </w:r>
      <w:r>
        <w:rPr>
          <w:rStyle w:val="54"/>
        </w:rPr>
        <w:fldChar w:fldCharType="end"/>
      </w:r>
      <w:r>
        <w:t>).</w:t>
      </w:r>
    </w:p>
    <w:p>
      <w:pPr>
        <w:pStyle w:val="28"/>
        <w:keepNext w:val="0"/>
        <w:keepLines w:val="0"/>
        <w:pageBreakBefore w:val="0"/>
        <w:widowControl/>
        <w:numPr>
          <w:ilvl w:val="0"/>
          <w:numId w:val="0"/>
        </w:numPr>
        <w:tabs>
          <w:tab w:val="left" w:pos="993"/>
        </w:tabs>
        <w:kinsoku/>
        <w:wordWrap/>
        <w:overflowPunct/>
        <w:topLinePunct w:val="0"/>
        <w:autoSpaceDE/>
        <w:autoSpaceDN/>
        <w:bidi w:val="0"/>
        <w:adjustRightInd/>
        <w:snapToGrid/>
        <w:spacing w:before="0" w:beforeAutospacing="0" w:after="0" w:afterAutospacing="0" w:line="240" w:lineRule="auto"/>
        <w:ind w:left="0" w:firstLine="0"/>
        <w:jc w:val="both"/>
        <w:textAlignment w:val="auto"/>
      </w:pPr>
    </w:p>
    <w:p>
      <w:pPr>
        <w:pStyle w:val="28"/>
        <w:keepNext w:val="0"/>
        <w:keepLines w:val="0"/>
        <w:pageBreakBefore w:val="0"/>
        <w:widowControl/>
        <w:numPr>
          <w:ilvl w:val="0"/>
          <w:numId w:val="12"/>
        </w:numPr>
        <w:pBdr>
          <w:bottom w:val="single" w:color="000000" w:themeColor="dark1" w:sz="4" w:space="1"/>
        </w:pBdr>
        <w:shd w:val="clear" w:color="auto" w:fill="BEBEBE" w:themeFill="background1" w:themeFillShade="BF"/>
        <w:kinsoku/>
        <w:wordWrap/>
        <w:overflowPunct/>
        <w:topLinePunct w:val="0"/>
        <w:autoSpaceDE/>
        <w:autoSpaceDN/>
        <w:bidi w:val="0"/>
        <w:adjustRightInd/>
        <w:snapToGrid/>
        <w:spacing w:before="0" w:beforeAutospacing="0" w:after="0" w:afterAutospacing="0" w:line="240" w:lineRule="auto"/>
        <w:jc w:val="both"/>
        <w:textAlignment w:val="auto"/>
        <w:rPr>
          <w:color w:val="FFFFFF" w:themeColor="background1"/>
        </w:rPr>
      </w:pPr>
      <w:r>
        <w:rPr>
          <w:rStyle w:val="11"/>
          <w:color w:val="000000"/>
        </w:rPr>
        <w:t>DOS CASOS OMISSOS</w:t>
      </w:r>
      <w:r>
        <w:t xml:space="preserve"> (</w:t>
      </w:r>
      <w:r>
        <w:fldChar w:fldCharType="begin"/>
      </w:r>
      <w:r>
        <w:rPr>
          <w:rStyle w:val="54"/>
        </w:rPr>
        <w:instrText xml:space="preserve"> HYPERLINK "http://www.planalto.gov.br/ccivil_03/_ato2019-2022/2021/lei/L14133.htm" \l "art92"</w:instrText>
      </w:r>
      <w:r>
        <w:rPr>
          <w:rStyle w:val="54"/>
        </w:rPr>
        <w:fldChar w:fldCharType="separate"/>
      </w:r>
      <w:r>
        <w:rPr>
          <w:rStyle w:val="54"/>
        </w:rPr>
        <w:t>art. 92, III</w:t>
      </w:r>
      <w:r>
        <w:rPr>
          <w:rStyle w:val="54"/>
        </w:rPr>
        <w:fldChar w:fldCharType="end"/>
      </w:r>
      <w:r>
        <w:rPr>
          <w:rStyle w:val="54"/>
        </w:rPr>
        <w:t>, da Lei Federal nº 14.133, de 2021</w:t>
      </w:r>
      <w:r>
        <w:t>)</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54"/>
        </w:rPr>
        <w:t>Lei Federal nº 14.133, de 2021</w:t>
      </w:r>
      <w:r>
        <w:rPr>
          <w:rStyle w:val="54"/>
        </w:rPr>
        <w:fldChar w:fldCharType="end"/>
      </w:r>
      <w: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4"/>
        </w:rPr>
        <w:t>Lei Federal nº 8.078, de 1990 - Código de Defesa do Consumidor</w:t>
      </w:r>
      <w:r>
        <w:rPr>
          <w:rStyle w:val="54"/>
        </w:rPr>
        <w:fldChar w:fldCharType="end"/>
      </w:r>
      <w:r>
        <w:t xml:space="preserve"> - e normas e princípios gerais dos contratos.</w:t>
      </w:r>
    </w:p>
    <w:p>
      <w:pPr>
        <w:pStyle w:val="28"/>
        <w:keepNext w:val="0"/>
        <w:keepLines w:val="0"/>
        <w:pageBreakBefore w:val="0"/>
        <w:widowControl/>
        <w:numPr>
          <w:ilvl w:val="0"/>
          <w:numId w:val="12"/>
        </w:numPr>
        <w:pBdr>
          <w:bottom w:val="single" w:color="000000" w:themeColor="dark1" w:sz="4" w:space="1"/>
        </w:pBdr>
        <w:shd w:val="clear" w:color="auto" w:fill="BEBEBE" w:themeFill="background1" w:themeFillShade="BF"/>
        <w:kinsoku/>
        <w:wordWrap/>
        <w:overflowPunct/>
        <w:topLinePunct w:val="0"/>
        <w:autoSpaceDE/>
        <w:autoSpaceDN/>
        <w:bidi w:val="0"/>
        <w:adjustRightInd/>
        <w:snapToGrid/>
        <w:spacing w:before="0" w:beforeAutospacing="0" w:after="0" w:afterAutospacing="0" w:line="240" w:lineRule="auto"/>
        <w:jc w:val="both"/>
        <w:textAlignment w:val="auto"/>
        <w:rPr>
          <w:rStyle w:val="11"/>
          <w:color w:val="000000"/>
        </w:rPr>
      </w:pPr>
      <w:r>
        <w:rPr>
          <w:rStyle w:val="11"/>
          <w:color w:val="000000"/>
        </w:rPr>
        <w:t xml:space="preserve">PUBLICAÇÃO </w:t>
      </w:r>
      <w:r>
        <w:rPr>
          <w:rStyle w:val="11"/>
          <w:b w:val="0"/>
          <w:bCs w:val="0"/>
          <w:color w:val="000000"/>
        </w:rPr>
        <w:t>(</w:t>
      </w:r>
      <w:r>
        <w:fldChar w:fldCharType="begin"/>
      </w:r>
      <w:r>
        <w:rPr>
          <w:rStyle w:val="54"/>
        </w:rPr>
        <w:instrText xml:space="preserve"> HYPERLINK "http://www.planalto.gov.br/ccivil_03/_ato2019-2022/2021/lei/L14133.htm" \l "art94"</w:instrText>
      </w:r>
      <w:r>
        <w:rPr>
          <w:rStyle w:val="54"/>
        </w:rPr>
        <w:fldChar w:fldCharType="separate"/>
      </w:r>
      <w:r>
        <w:rPr>
          <w:rStyle w:val="54"/>
        </w:rPr>
        <w:t>art. 94 da Lei Federal nº 14.133, de 2021</w:t>
      </w:r>
      <w:r>
        <w:rPr>
          <w:rStyle w:val="54"/>
        </w:rPr>
        <w:fldChar w:fldCharType="end"/>
      </w:r>
      <w:r>
        <w:rPr>
          <w:rStyle w:val="11"/>
          <w:b w:val="0"/>
          <w:bCs w:val="0"/>
          <w:color w:val="000000"/>
        </w:rPr>
        <w:t>)</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pPr>
      <w: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54"/>
        </w:rPr>
        <w:t>https://pncp.gov.br/</w:t>
      </w:r>
      <w:r>
        <w:rPr>
          <w:rStyle w:val="54"/>
        </w:rPr>
        <w:fldChar w:fldCharType="end"/>
      </w:r>
      <w:r>
        <w:t xml:space="preserve">), na forma prevista no </w:t>
      </w:r>
      <w:r>
        <w:fldChar w:fldCharType="begin"/>
      </w:r>
      <w:r>
        <w:rPr>
          <w:rStyle w:val="54"/>
        </w:rPr>
        <w:instrText xml:space="preserve"> HYPERLINK "http://www.planalto.gov.br/ccivil_03/_ato2019-2022/2021/lei/L14133.htm" \l "art94"</w:instrText>
      </w:r>
      <w:r>
        <w:rPr>
          <w:rStyle w:val="54"/>
        </w:rPr>
        <w:fldChar w:fldCharType="separate"/>
      </w:r>
      <w:r>
        <w:rPr>
          <w:rStyle w:val="54"/>
        </w:rPr>
        <w:t>art. 94 da Lei Federal nº 14.133, de 2021</w:t>
      </w:r>
      <w:r>
        <w:rPr>
          <w:rStyle w:val="54"/>
        </w:rPr>
        <w:fldChar w:fldCharType="end"/>
      </w:r>
      <w:r>
        <w:t xml:space="preserve">, bem como no respectivo sítio oficial na Internet, em atenção ao </w:t>
      </w:r>
      <w:r>
        <w:fldChar w:fldCharType="begin"/>
      </w:r>
      <w:r>
        <w:rPr>
          <w:rStyle w:val="54"/>
        </w:rPr>
        <w:instrText xml:space="preserve"> HYPERLINK "http://www.planalto.gov.br/ccivil_03/_ato2019-2022/2021/lei/L14133.htm" \l "art94"</w:instrText>
      </w:r>
      <w:r>
        <w:rPr>
          <w:rStyle w:val="54"/>
        </w:rPr>
        <w:fldChar w:fldCharType="separate"/>
      </w:r>
      <w:r>
        <w:rPr>
          <w:rStyle w:val="54"/>
        </w:rPr>
        <w:t xml:space="preserve">art. 91, </w:t>
      </w:r>
      <w:r>
        <w:rPr>
          <w:rStyle w:val="54"/>
        </w:rPr>
        <w:fldChar w:fldCharType="end"/>
      </w:r>
      <w:r>
        <w:rPr>
          <w:rStyle w:val="54"/>
          <w:i/>
          <w:iCs/>
        </w:rPr>
        <w:t>caput</w:t>
      </w:r>
      <w:r>
        <w:rPr>
          <w:rStyle w:val="54"/>
        </w:rPr>
        <w:t>, da Lei Federal nº 14.133, de 2021</w:t>
      </w:r>
      <w:r>
        <w:t xml:space="preserve">, e ao </w:t>
      </w:r>
      <w:r>
        <w:fldChar w:fldCharType="begin"/>
      </w:r>
      <w:r>
        <w:rPr>
          <w:rStyle w:val="54"/>
        </w:rPr>
        <w:instrText xml:space="preserve"> HYPERLINK "https://www.planalto.gov.br/ccivil_03/_ato2011-2014/2011/lei/l12527.htm" \l "art8§2"</w:instrText>
      </w:r>
      <w:r>
        <w:rPr>
          <w:rStyle w:val="54"/>
        </w:rPr>
        <w:fldChar w:fldCharType="separate"/>
      </w:r>
      <w:r>
        <w:rPr>
          <w:rStyle w:val="54"/>
        </w:rPr>
        <w:t>art. 8º, §2º, da Lei Federal nº 12.527, de 2011</w:t>
      </w:r>
      <w:r>
        <w:rPr>
          <w:rStyle w:val="54"/>
        </w:rPr>
        <w:fldChar w:fldCharType="end"/>
      </w:r>
      <w:r>
        <w:t>.</w:t>
      </w:r>
    </w:p>
    <w:p>
      <w:pPr>
        <w:pStyle w:val="28"/>
        <w:keepNext w:val="0"/>
        <w:keepLines w:val="0"/>
        <w:pageBreakBefore w:val="0"/>
        <w:widowControl/>
        <w:numPr>
          <w:ilvl w:val="0"/>
          <w:numId w:val="12"/>
        </w:numPr>
        <w:pBdr>
          <w:bottom w:val="single" w:color="000000" w:themeColor="dark1" w:sz="4" w:space="1"/>
        </w:pBdr>
        <w:shd w:val="clear" w:color="auto" w:fill="BEBEBE" w:themeFill="background1" w:themeFillShade="BF"/>
        <w:kinsoku/>
        <w:wordWrap/>
        <w:overflowPunct/>
        <w:topLinePunct w:val="0"/>
        <w:autoSpaceDE/>
        <w:autoSpaceDN/>
        <w:bidi w:val="0"/>
        <w:adjustRightInd/>
        <w:snapToGrid/>
        <w:spacing w:before="0" w:beforeAutospacing="0" w:after="0" w:afterAutospacing="0" w:line="240" w:lineRule="auto"/>
        <w:jc w:val="both"/>
        <w:textAlignment w:val="auto"/>
        <w:rPr>
          <w:color w:val="FFFFFF" w:themeColor="background1"/>
        </w:rPr>
      </w:pPr>
      <w:r>
        <w:rPr>
          <w:rStyle w:val="11"/>
          <w:color w:val="000000"/>
        </w:rPr>
        <w:t>FORO</w:t>
      </w:r>
      <w:r>
        <w:t xml:space="preserve"> (</w:t>
      </w:r>
      <w:r>
        <w:fldChar w:fldCharType="begin"/>
      </w:r>
      <w:r>
        <w:rPr>
          <w:rStyle w:val="54"/>
        </w:rPr>
        <w:instrText xml:space="preserve"> HYPERLINK "http://www.planalto.gov.br/ccivil_03/_ato2019-2022/2021/lei/L14133.htm" \l "art92§1"</w:instrText>
      </w:r>
      <w:r>
        <w:rPr>
          <w:rStyle w:val="54"/>
        </w:rPr>
        <w:fldChar w:fldCharType="separate"/>
      </w:r>
      <w:r>
        <w:rPr>
          <w:rStyle w:val="54"/>
        </w:rPr>
        <w:t>art. 92, §1º</w:t>
      </w:r>
      <w:r>
        <w:rPr>
          <w:rStyle w:val="54"/>
        </w:rPr>
        <w:fldChar w:fldCharType="end"/>
      </w:r>
      <w:r>
        <w:rPr>
          <w:rStyle w:val="54"/>
        </w:rPr>
        <w:t>, da Lei Federal nº 14.133, de 2021</w:t>
      </w:r>
      <w:r>
        <w:t>)</w:t>
      </w:r>
    </w:p>
    <w:p>
      <w:pPr>
        <w:pStyle w:val="28"/>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Style w:val="54"/>
          <w:color w:val="auto"/>
          <w:u w:val="none"/>
        </w:rPr>
      </w:pPr>
      <w:r>
        <w:t xml:space="preserve">Fica eleito o Foro da Justiça Estadual em Pontes e Lacerda - MT para dirimir os litígios que decorrerem da execução deste Termo de Contrato que não puderem ser compostos pela conciliação administrativa, conforme </w:t>
      </w:r>
      <w:r>
        <w:fldChar w:fldCharType="begin"/>
      </w:r>
      <w:r>
        <w:rPr>
          <w:rStyle w:val="54"/>
        </w:rPr>
        <w:instrText xml:space="preserve"> HYPERLINK "http://www.planalto.gov.br/ccivil_03/_ato2019-2022/2021/lei/L14133.htm" \l "art92§1"</w:instrText>
      </w:r>
      <w:r>
        <w:rPr>
          <w:rStyle w:val="54"/>
        </w:rPr>
        <w:fldChar w:fldCharType="separate"/>
      </w:r>
      <w:r>
        <w:rPr>
          <w:rStyle w:val="54"/>
        </w:rPr>
        <w:t>art. 92, §1º, da Lei Federal nº 14.133, de 2021.</w:t>
      </w:r>
      <w:r>
        <w:rPr>
          <w:rStyle w:val="54"/>
        </w:rPr>
        <w:fldChar w:fldCharType="end"/>
      </w: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ind w:firstLine="567"/>
        <w:jc w:val="both"/>
        <w:textAlignment w:val="auto"/>
      </w:pPr>
      <w:r>
        <w:t>Para firmeza e como prova de assim haverem ajustado, depois de lido e achado de acordo, este instrumento será assinado digitalmente ou, em caso de impossibilidade, impresso e assinado em 2 (duas) vias de igual teor e forma.</w:t>
      </w: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ind w:firstLine="567"/>
        <w:jc w:val="right"/>
        <w:textAlignment w:val="auto"/>
      </w:pPr>
      <w:r>
        <w:t>Primavera do Leste - MT, em ____________, de ___________de 2024.</w:t>
      </w: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right"/>
        <w:textAlignment w:val="auto"/>
      </w:pP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pPr>
      <w:r>
        <w:rPr>
          <w:u w:val="single"/>
        </w:rPr>
        <w:t>Representantes legais</w:t>
      </w:r>
      <w:r>
        <w:t>:</w:t>
      </w: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pP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pP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center"/>
        <w:textAlignment w:val="auto"/>
        <w:rPr>
          <w:b/>
          <w:bCs/>
          <w:kern w:val="0"/>
          <w:highlight w:val="none"/>
          <w:lang w:val="pt-BR" w:bidi="ar-SA"/>
        </w:rPr>
      </w:pPr>
      <w:r>
        <w:rPr>
          <w:b/>
          <w:bCs/>
          <w:kern w:val="0"/>
          <w:highlight w:val="none"/>
          <w:lang w:val="pt-BR" w:bidi="ar-SA"/>
        </w:rPr>
        <w:t>NOME DO ORDENADOR DE DESPESAS</w:t>
      </w: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center"/>
        <w:textAlignment w:val="auto"/>
        <w:rPr>
          <w:b/>
          <w:bCs/>
          <w:kern w:val="0"/>
          <w:highlight w:val="none"/>
          <w:lang w:val="pt-BR" w:bidi="ar-SA"/>
        </w:rPr>
      </w:pP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center"/>
        <w:textAlignment w:val="auto"/>
        <w:rPr>
          <w:b/>
          <w:bCs/>
          <w:kern w:val="0"/>
          <w:highlight w:val="none"/>
          <w:lang w:val="pt-BR" w:bidi="ar-SA"/>
        </w:rPr>
      </w:pPr>
    </w:p>
    <w:p>
      <w:pPr>
        <w:pStyle w:val="28"/>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center"/>
        <w:textAlignment w:val="auto"/>
        <w:rPr>
          <w:sz w:val="8"/>
          <w:szCs w:val="8"/>
          <w:highlight w:val="none"/>
        </w:rPr>
      </w:pPr>
      <w:r>
        <w:rPr>
          <w:b/>
          <w:bCs/>
          <w:kern w:val="0"/>
          <w:highlight w:val="none"/>
          <w:lang w:val="pt-BR" w:bidi="ar-SA"/>
        </w:rPr>
        <w:t>NOME DA CONTRATADA</w:t>
      </w: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20"/>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54"/>
        <w:rFonts w:ascii="Times New Roman" w:hAnsi="Times New Roman" w:cs="Arial"/>
        <w:sz w:val="20"/>
        <w:szCs w:val="20"/>
      </w:rPr>
      <w:t>https://www.primaveradoleste.mt.leg.br/</w:t>
    </w:r>
    <w:r>
      <w:rPr>
        <w:rStyle w:val="54"/>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0"/>
      </w:pPr>
      <w:r>
        <w:rPr>
          <w:rStyle w:val="44"/>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eastAsia="Liberation Serif"/>
        <w:sz w:val="18"/>
        <w:szCs w:val="18"/>
        <w:lang w:eastAsia="hi-IN"/>
      </w:rPr>
    </w:pPr>
  </w:p>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pPr>
            <w:widowControl/>
            <w:suppressAutoHyphens/>
            <w:spacing w:before="0" w:after="0" w:line="240" w:lineRule="auto"/>
            <w:jc w:val="right"/>
            <w:rPr>
              <w:rFonts w:ascii="Arial" w:hAnsi="Arial" w:cs="Arial"/>
              <w:sz w:val="24"/>
              <w:szCs w:val="24"/>
            </w:rPr>
          </w:pPr>
          <w:r>
            <w:rPr>
              <w:rFonts w:ascii="Arial" w:hAnsi="Arial" w:eastAsia="Calibri" w:cs="Arial"/>
              <w:kern w:val="0"/>
              <w:sz w:val="24"/>
              <w:szCs w:val="24"/>
              <w:lang w:val="pt-BR" w:eastAsia="en-US" w:bidi="ar-SA"/>
            </w:rPr>
            <w:t xml:space="preserve">(Fl.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PAGE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1</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de </w:t>
          </w:r>
          <w:r>
            <w:rPr>
              <w:rFonts w:ascii="Arial" w:hAnsi="Arial" w:eastAsia="Calibri" w:cs="Arial"/>
              <w:kern w:val="0"/>
              <w:sz w:val="24"/>
              <w:szCs w:val="24"/>
              <w:lang w:val="pt-BR" w:eastAsia="en-US" w:bidi="ar-SA"/>
            </w:rPr>
            <w:fldChar w:fldCharType="begin"/>
          </w:r>
          <w:r>
            <w:rPr>
              <w:rFonts w:ascii="Arial" w:hAnsi="Arial" w:eastAsia="Calibri" w:cs="Arial"/>
              <w:kern w:val="0"/>
              <w:sz w:val="24"/>
              <w:szCs w:val="24"/>
              <w:lang w:val="pt-BR" w:eastAsia="en-US" w:bidi="ar-SA"/>
            </w:rPr>
            <w:instrText xml:space="preserve"> NUMPAGES </w:instrText>
          </w:r>
          <w:r>
            <w:rPr>
              <w:rFonts w:ascii="Arial" w:hAnsi="Arial" w:eastAsia="Calibri" w:cs="Arial"/>
              <w:kern w:val="0"/>
              <w:sz w:val="24"/>
              <w:szCs w:val="24"/>
              <w:lang w:val="pt-BR" w:eastAsia="en-US" w:bidi="ar-SA"/>
            </w:rPr>
            <w:fldChar w:fldCharType="separate"/>
          </w:r>
          <w:r>
            <w:rPr>
              <w:rFonts w:ascii="Arial" w:hAnsi="Arial" w:eastAsia="Calibri" w:cs="Arial"/>
              <w:kern w:val="0"/>
              <w:sz w:val="24"/>
              <w:szCs w:val="24"/>
              <w:lang w:val="pt-BR" w:eastAsia="en-US" w:bidi="ar-SA"/>
            </w:rPr>
            <w:t>83</w:t>
          </w:r>
          <w:r>
            <w:rPr>
              <w:rFonts w:ascii="Arial" w:hAnsi="Arial" w:eastAsia="Calibri" w:cs="Arial"/>
              <w:kern w:val="0"/>
              <w:sz w:val="24"/>
              <w:szCs w:val="24"/>
              <w:lang w:val="pt-BR" w:eastAsia="en-US" w:bidi="ar-SA"/>
            </w:rPr>
            <w:fldChar w:fldCharType="end"/>
          </w:r>
          <w:r>
            <w:rPr>
              <w:rFonts w:ascii="Arial" w:hAnsi="Arial" w:eastAsia="Calibri" w:cs="Arial"/>
              <w:kern w:val="0"/>
              <w:sz w:val="24"/>
              <w:szCs w:val="24"/>
              <w:lang w:val="pt-BR" w:eastAsia="en-US" w:bidi="ar-SA"/>
            </w:rPr>
            <w:t xml:space="preserve"> do Edital do Pregão nº </w:t>
          </w:r>
          <w:r>
            <w:rPr>
              <w:rFonts w:ascii="Arial" w:hAnsi="Arial" w:cs="Arial" w:eastAsiaTheme="minorHAnsi"/>
              <w:kern w:val="0"/>
              <w:sz w:val="24"/>
              <w:szCs w:val="24"/>
              <w:shd w:val="clear" w:fill="auto"/>
              <w:lang w:val="pt-BR" w:eastAsia="en-US" w:bidi="ar-SA"/>
            </w:rPr>
            <w:t xml:space="preserve">002, </w:t>
          </w:r>
          <w:r>
            <w:rPr>
              <w:rFonts w:ascii="Arial" w:hAnsi="Arial" w:eastAsia="Calibri" w:cs="Arial"/>
              <w:kern w:val="0"/>
              <w:sz w:val="24"/>
              <w:szCs w:val="24"/>
              <w:lang w:val="pt-BR" w:eastAsia="en-US" w:bidi="ar-SA"/>
            </w:rPr>
            <w:t>de 2024)</w:t>
          </w:r>
        </w:p>
        <w:p>
          <w:pPr>
            <w:widowControl/>
            <w:suppressAutoHyphens/>
            <w:spacing w:before="0" w:after="0" w:line="240" w:lineRule="auto"/>
            <w:jc w:val="center"/>
            <w:rPr>
              <w:rFonts w:ascii="Times New Roman" w:hAnsi="Times New Roman" w:cs="Times New Roman"/>
              <w:sz w:val="24"/>
              <w:szCs w:val="24"/>
            </w:rPr>
          </w:pP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widowControl/>
            <w:suppressAutoHyphens/>
            <w:spacing w:before="0" w:after="0" w:line="240" w:lineRule="auto"/>
            <w:jc w:val="right"/>
            <w:rPr>
              <w:rFonts w:ascii="Times New Roman" w:hAnsi="Times New Roman" w:eastAsia="Calibri"/>
              <w:kern w:val="0"/>
              <w:sz w:val="22"/>
              <w:szCs w:val="22"/>
              <w:lang w:val="pt-BR" w:eastAsia="en-US" w:bidi="ar-SA"/>
            </w:rPr>
          </w:pPr>
          <w:r>
            <w:rPr>
              <w:rFonts w:ascii="Times New Roman" w:hAnsi="Times New Roman" w:eastAsia="Calibri" w:cs="Arial"/>
              <w:kern w:val="0"/>
              <w:sz w:val="24"/>
              <w:szCs w:val="24"/>
              <w:lang w:val="pt-BR" w:eastAsia="en-US" w:bidi="ar-SA"/>
            </w:rPr>
            <w:t xml:space="preserve">(Fl.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PAGE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83</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de </w:t>
          </w:r>
          <w:r>
            <w:rPr>
              <w:rFonts w:ascii="Times New Roman" w:hAnsi="Times New Roman" w:eastAsia="Calibri" w:cs="Arial"/>
              <w:kern w:val="0"/>
              <w:sz w:val="24"/>
              <w:szCs w:val="24"/>
              <w:lang w:val="pt-BR" w:eastAsia="en-US" w:bidi="ar-SA"/>
            </w:rPr>
            <w:fldChar w:fldCharType="begin"/>
          </w:r>
          <w:r>
            <w:rPr>
              <w:rFonts w:ascii="Times New Roman" w:hAnsi="Times New Roman" w:eastAsia="Calibri" w:cs="Arial"/>
              <w:kern w:val="0"/>
              <w:sz w:val="24"/>
              <w:szCs w:val="24"/>
              <w:lang w:val="pt-BR" w:eastAsia="en-US" w:bidi="ar-SA"/>
            </w:rPr>
            <w:instrText xml:space="preserve"> NUMPAGES </w:instrText>
          </w:r>
          <w:r>
            <w:rPr>
              <w:rFonts w:ascii="Times New Roman" w:hAnsi="Times New Roman" w:eastAsia="Calibri" w:cs="Arial"/>
              <w:kern w:val="0"/>
              <w:sz w:val="24"/>
              <w:szCs w:val="24"/>
              <w:lang w:val="pt-BR" w:eastAsia="en-US" w:bidi="ar-SA"/>
            </w:rPr>
            <w:fldChar w:fldCharType="separate"/>
          </w:r>
          <w:r>
            <w:rPr>
              <w:rFonts w:ascii="Times New Roman" w:hAnsi="Times New Roman" w:eastAsia="Calibri" w:cs="Arial"/>
              <w:kern w:val="0"/>
              <w:sz w:val="24"/>
              <w:szCs w:val="24"/>
              <w:lang w:val="pt-BR" w:eastAsia="en-US" w:bidi="ar-SA"/>
            </w:rPr>
            <w:t>83</w:t>
          </w:r>
          <w:r>
            <w:rPr>
              <w:rFonts w:ascii="Times New Roman" w:hAnsi="Times New Roman" w:eastAsia="Calibri" w:cs="Arial"/>
              <w:kern w:val="0"/>
              <w:sz w:val="24"/>
              <w:szCs w:val="24"/>
              <w:lang w:val="pt-BR" w:eastAsia="en-US" w:bidi="ar-SA"/>
            </w:rPr>
            <w:fldChar w:fldCharType="end"/>
          </w:r>
          <w:r>
            <w:rPr>
              <w:rFonts w:ascii="Times New Roman" w:hAnsi="Times New Roman" w:eastAsia="Calibri" w:cs="Arial"/>
              <w:kern w:val="0"/>
              <w:sz w:val="24"/>
              <w:szCs w:val="24"/>
              <w:lang w:val="pt-BR" w:eastAsia="en-US" w:bidi="ar-SA"/>
            </w:rPr>
            <w:t xml:space="preserve"> do Edital do Pregão Eletrônico n</w:t>
          </w:r>
          <w:r>
            <w:rPr>
              <w:rFonts w:ascii="Times New Roman" w:hAnsi="Times New Roman" w:eastAsia="Calibri" w:cs="Arial"/>
              <w:color w:val="auto"/>
              <w:kern w:val="0"/>
              <w:sz w:val="24"/>
              <w:szCs w:val="24"/>
              <w:lang w:val="pt-BR" w:eastAsia="en-US" w:bidi="ar-SA"/>
            </w:rPr>
            <w:t xml:space="preserve">º </w:t>
          </w:r>
          <w:r>
            <w:rPr>
              <w:rFonts w:ascii="Times New Roman" w:hAnsi="Times New Roman" w:cs="Arial" w:eastAsiaTheme="minorHAnsi"/>
              <w:color w:val="000000"/>
              <w:kern w:val="0"/>
              <w:sz w:val="24"/>
              <w:szCs w:val="24"/>
              <w:shd w:val="clear" w:fill="auto"/>
              <w:lang w:val="pt-BR" w:eastAsia="en-US" w:bidi="ar-SA"/>
            </w:rPr>
            <w:t>002</w:t>
          </w:r>
          <w:r>
            <w:rPr>
              <w:rFonts w:ascii="Times New Roman" w:hAnsi="Times New Roman" w:cs="Arial"/>
              <w:color w:val="000000"/>
              <w:kern w:val="0"/>
              <w:sz w:val="24"/>
              <w:szCs w:val="24"/>
              <w:shd w:val="clear" w:fill="auto"/>
              <w:lang w:val="pt-BR" w:eastAsia="en-US" w:bidi="ar-SA"/>
            </w:rPr>
            <w:t>/</w:t>
          </w:r>
          <w:r>
            <w:rPr>
              <w:rFonts w:ascii="Times New Roman" w:hAnsi="Times New Roman" w:eastAsia="Calibri" w:cs="Arial"/>
              <w:kern w:val="0"/>
              <w:sz w:val="24"/>
              <w:szCs w:val="24"/>
              <w:lang w:val="pt-BR" w:eastAsia="en-US" w:bidi="ar-SA"/>
            </w:rPr>
            <w:t>2024)</w:t>
          </w:r>
        </w:p>
        <w:p>
          <w:pPr>
            <w:widowControl/>
            <w:suppressAutoHyphens/>
            <w:spacing w:before="0" w:after="0" w:line="240" w:lineRule="auto"/>
            <w:jc w:val="center"/>
            <w:rPr>
              <w:rFonts w:ascii="Times New Roman" w:hAnsi="Times New Roman" w:cs="Times New Roman"/>
              <w:sz w:val="24"/>
              <w:szCs w:val="24"/>
            </w:rPr>
          </w:pP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99"/>
      <w:lvlText w:val=""/>
      <w:lvlJc w:val="left"/>
      <w:pPr>
        <w:tabs>
          <w:tab w:val="left" w:pos="720"/>
        </w:tabs>
        <w:ind w:left="720" w:hanging="360"/>
      </w:pPr>
      <w:rPr>
        <w:rFonts w:hint="default" w:ascii="Symbol" w:hAnsi="Symbol" w:cs="Symbol"/>
        <w:sz w:val="20"/>
      </w:rPr>
    </w:lvl>
    <w:lvl w:ilvl="1" w:tentative="0">
      <w:start w:val="1"/>
      <w:numFmt w:val="bullet"/>
      <w:pStyle w:val="67"/>
      <w:lvlText w:val=""/>
      <w:lvlJc w:val="left"/>
      <w:pPr>
        <w:tabs>
          <w:tab w:val="left" w:pos="1440"/>
        </w:tabs>
        <w:ind w:left="1440" w:hanging="360"/>
      </w:pPr>
      <w:rPr>
        <w:rFonts w:hint="default" w:ascii="Symbol" w:hAnsi="Symbol" w:cs="Symbol"/>
        <w:sz w:val="20"/>
      </w:rPr>
    </w:lvl>
    <w:lvl w:ilvl="2" w:tentative="0">
      <w:start w:val="1"/>
      <w:numFmt w:val="bullet"/>
      <w:pStyle w:val="75"/>
      <w:lvlText w:val=""/>
      <w:lvlJc w:val="left"/>
      <w:pPr>
        <w:tabs>
          <w:tab w:val="left" w:pos="2160"/>
        </w:tabs>
        <w:ind w:left="2160" w:hanging="360"/>
      </w:pPr>
      <w:rPr>
        <w:rFonts w:hint="default" w:ascii="Symbol" w:hAnsi="Symbol" w:cs="Symbol"/>
        <w:sz w:val="20"/>
      </w:rPr>
    </w:lvl>
    <w:lvl w:ilvl="3" w:tentative="0">
      <w:start w:val="1"/>
      <w:numFmt w:val="bullet"/>
      <w:pStyle w:val="120"/>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27"/>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5">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6">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2A8F537B"/>
    <w:multiLevelType w:val="multilevel"/>
    <w:tmpl w:val="2A8F537B"/>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59ADCABA"/>
    <w:multiLevelType w:val="multilevel"/>
    <w:tmpl w:val="59ADCABA"/>
    <w:lvl w:ilvl="0" w:tentative="0">
      <w:start w:val="1"/>
      <w:numFmt w:val="decimal"/>
      <w:pStyle w:val="97"/>
      <w:lvlText w:val="%1."/>
      <w:lvlJc w:val="left"/>
      <w:pPr>
        <w:tabs>
          <w:tab w:val="left" w:pos="0"/>
        </w:tabs>
        <w:ind w:left="360" w:hanging="360"/>
      </w:pPr>
      <w:rPr>
        <w:b/>
        <w:color w:val="auto"/>
      </w:rPr>
    </w:lvl>
    <w:lvl w:ilvl="1" w:tentative="0">
      <w:start w:val="1"/>
      <w:numFmt w:val="decimal"/>
      <w:pStyle w:val="65"/>
      <w:lvlText w:val="%1.%2."/>
      <w:lvlJc w:val="left"/>
      <w:pPr>
        <w:tabs>
          <w:tab w:val="left" w:pos="0"/>
        </w:tabs>
        <w:ind w:left="1283" w:hanging="432"/>
      </w:pPr>
      <w:rPr>
        <w:sz w:val="20"/>
        <w:szCs w:val="20"/>
      </w:rPr>
    </w:lvl>
    <w:lvl w:ilvl="2" w:tentative="0">
      <w:start w:val="1"/>
      <w:numFmt w:val="decimal"/>
      <w:pStyle w:val="71"/>
      <w:lvlText w:val="%1.%2.%3."/>
      <w:lvlJc w:val="left"/>
      <w:pPr>
        <w:tabs>
          <w:tab w:val="left" w:pos="0"/>
        </w:tabs>
        <w:ind w:left="1497" w:hanging="504"/>
      </w:pPr>
    </w:lvl>
    <w:lvl w:ilvl="3" w:tentative="0">
      <w:start w:val="1"/>
      <w:numFmt w:val="decimal"/>
      <w:pStyle w:val="77"/>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5A241D34"/>
    <w:multiLevelType w:val="multilevel"/>
    <w:tmpl w:val="5A241D34"/>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 w:numId="13">
    <w:abstractNumId w:val="4"/>
    <w:lvlOverride w:ilvl="0">
      <w:startOverride w:val="1"/>
    </w:lvlOverride>
    <w:lvlOverride w:ilvl="1">
      <w:startOverride w:val="1"/>
    </w:lvlOverride>
    <w:lvlOverride w:ilvl="2">
      <w:startOverride w:val="1"/>
    </w:lvlOverride>
  </w:num>
  <w:num w:numId="14">
    <w:abstractNumId w:val="4"/>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2"/>
    <w:footnote w:id="3"/>
  </w:footnotePr>
  <w:endnotePr>
    <w:endnote w:id="0"/>
    <w:endnote w:id="1"/>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F783A3C"/>
    <w:rsid w:val="2A875D4B"/>
    <w:rsid w:val="31CA5C1E"/>
    <w:rsid w:val="35EF5721"/>
    <w:rsid w:val="434B5A30"/>
    <w:rsid w:val="46463EA3"/>
    <w:rsid w:val="47CC40C2"/>
    <w:rsid w:val="47F85A76"/>
    <w:rsid w:val="5A437E61"/>
    <w:rsid w:val="5DAE2AF9"/>
    <w:rsid w:val="647C54E3"/>
    <w:rsid w:val="67034E9E"/>
    <w:rsid w:val="6D000BE4"/>
    <w:rsid w:val="7D576FCC"/>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pt-BR" w:eastAsia="en-US" w:bidi="ar-SA"/>
    </w:rPr>
  </w:style>
  <w:style w:type="paragraph" w:styleId="2">
    <w:name w:val="heading 1"/>
    <w:basedOn w:val="3"/>
    <w:next w:val="1"/>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1"/>
    <w:qFormat/>
    <w:uiPriority w:val="0"/>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5">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6">
    <w:name w:val="heading 4"/>
    <w:basedOn w:val="1"/>
    <w:next w:val="1"/>
    <w:semiHidden/>
    <w:unhideWhenUsed/>
    <w:qFormat/>
    <w:uiPriority w:val="0"/>
    <w:pPr>
      <w:keepNext/>
      <w:keepLines/>
      <w:spacing w:before="40" w:after="0" w:line="240" w:lineRule="auto"/>
      <w:outlineLvl w:val="3"/>
    </w:pPr>
    <w:rPr>
      <w:rFonts w:asciiTheme="majorHAnsi" w:hAnsiTheme="majorHAnsi" w:eastAsiaTheme="majorEastAsia" w:cstheme="majorBidi"/>
      <w:i/>
      <w:iCs/>
      <w:color w:val="366091" w:themeColor="accent1" w:themeShade="BF"/>
      <w:sz w:val="24"/>
      <w:szCs w:val="24"/>
      <w:lang w:eastAsia="pt-BR"/>
    </w:rPr>
  </w:style>
  <w:style w:type="paragraph" w:styleId="7">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43F61" w:themeColor="accent1" w:themeShade="7F"/>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styleId="10">
    <w:name w:val="endnote reference"/>
    <w:qFormat/>
    <w:uiPriority w:val="0"/>
    <w:rPr>
      <w:vertAlign w:val="superscript"/>
    </w:rPr>
  </w:style>
  <w:style w:type="character" w:styleId="11">
    <w:name w:val="Strong"/>
    <w:basedOn w:val="8"/>
    <w:qFormat/>
    <w:uiPriority w:val="22"/>
    <w:rPr>
      <w:b/>
      <w:bCs/>
    </w:rPr>
  </w:style>
  <w:style w:type="character" w:styleId="12">
    <w:name w:val="annotation reference"/>
    <w:basedOn w:val="8"/>
    <w:unhideWhenUsed/>
    <w:qFormat/>
    <w:uiPriority w:val="0"/>
    <w:rPr>
      <w:sz w:val="16"/>
      <w:szCs w:val="16"/>
    </w:rPr>
  </w:style>
  <w:style w:type="character" w:styleId="13">
    <w:name w:val="FollowedHyperlink"/>
    <w:basedOn w:val="8"/>
    <w:semiHidden/>
    <w:unhideWhenUsed/>
    <w:qFormat/>
    <w:uiPriority w:val="99"/>
    <w:rPr>
      <w:color w:val="800080" w:themeColor="followedHyperlink"/>
      <w:u w:val="single"/>
    </w:rPr>
  </w:style>
  <w:style w:type="character" w:styleId="14">
    <w:name w:val="Emphasis"/>
    <w:qFormat/>
    <w:uiPriority w:val="20"/>
    <w:rPr>
      <w:rFonts w:cs="Times New Roman"/>
      <w:i/>
      <w:iCs/>
    </w:rPr>
  </w:style>
  <w:style w:type="character" w:styleId="15">
    <w:name w:val="footnote reference"/>
    <w:qFormat/>
    <w:uiPriority w:val="0"/>
    <w:rPr>
      <w:vertAlign w:val="superscript"/>
    </w:rPr>
  </w:style>
  <w:style w:type="character" w:styleId="16">
    <w:name w:val="Hyperlink"/>
    <w:qFormat/>
    <w:uiPriority w:val="0"/>
    <w:rPr>
      <w:color w:val="000080"/>
      <w:u w:val="single"/>
    </w:rPr>
  </w:style>
  <w:style w:type="paragraph" w:styleId="17">
    <w:name w:val="toc 2"/>
    <w:basedOn w:val="18"/>
    <w:qFormat/>
    <w:uiPriority w:val="0"/>
  </w:style>
  <w:style w:type="paragraph" w:customStyle="1" w:styleId="18">
    <w:name w:val="Índice"/>
    <w:basedOn w:val="1"/>
    <w:qFormat/>
    <w:uiPriority w:val="0"/>
    <w:pPr>
      <w:suppressLineNumbers/>
    </w:pPr>
    <w:rPr>
      <w:rFonts w:cs="Arial"/>
    </w:rPr>
  </w:style>
  <w:style w:type="paragraph" w:styleId="19">
    <w:name w:val="List"/>
    <w:basedOn w:val="20"/>
    <w:uiPriority w:val="0"/>
    <w:rPr>
      <w:rFonts w:cs="Arial"/>
    </w:rPr>
  </w:style>
  <w:style w:type="paragraph" w:styleId="20">
    <w:name w:val="Body Text"/>
    <w:basedOn w:val="1"/>
    <w:link w:val="81"/>
    <w:unhideWhenUsed/>
    <w:qFormat/>
    <w:uiPriority w:val="99"/>
    <w:pPr>
      <w:spacing w:before="0" w:after="120"/>
    </w:pPr>
  </w:style>
  <w:style w:type="paragraph" w:styleId="21">
    <w:name w:val="toc 9"/>
    <w:basedOn w:val="18"/>
    <w:qFormat/>
    <w:uiPriority w:val="0"/>
  </w:style>
  <w:style w:type="paragraph" w:styleId="22">
    <w:name w:val="toc 6"/>
    <w:basedOn w:val="18"/>
    <w:qFormat/>
    <w:uiPriority w:val="0"/>
  </w:style>
  <w:style w:type="paragraph" w:styleId="23">
    <w:name w:val="annotation text"/>
    <w:basedOn w:val="1"/>
    <w:link w:val="49"/>
    <w:unhideWhenUsed/>
    <w:qFormat/>
    <w:uiPriority w:val="99"/>
    <w:pPr>
      <w:spacing w:line="240" w:lineRule="auto"/>
    </w:pPr>
    <w:rPr>
      <w:sz w:val="20"/>
      <w:szCs w:val="20"/>
    </w:rPr>
  </w:style>
  <w:style w:type="paragraph" w:styleId="24">
    <w:name w:val="toc 5"/>
    <w:basedOn w:val="18"/>
    <w:qFormat/>
    <w:uiPriority w:val="0"/>
  </w:style>
  <w:style w:type="paragraph" w:styleId="25">
    <w:name w:val="Body Text Indent 2"/>
    <w:basedOn w:val="1"/>
    <w:link w:val="80"/>
    <w:qFormat/>
    <w:uiPriority w:val="0"/>
    <w:pPr>
      <w:spacing w:before="0" w:after="0" w:line="240" w:lineRule="auto"/>
      <w:ind w:firstLine="708"/>
      <w:jc w:val="both"/>
    </w:pPr>
    <w:rPr>
      <w:rFonts w:ascii="Arial Narrow" w:hAnsi="Arial Narrow" w:eastAsia="Times New Roman" w:cs="Times New Roman"/>
      <w:sz w:val="24"/>
      <w:szCs w:val="20"/>
      <w:lang w:eastAsia="pt-BR"/>
    </w:rPr>
  </w:style>
  <w:style w:type="paragraph" w:styleId="26">
    <w:name w:val="Title"/>
    <w:basedOn w:val="1"/>
    <w:next w:val="1"/>
    <w:link w:val="95"/>
    <w:qFormat/>
    <w:uiPriority w:val="0"/>
    <w:pPr>
      <w:pBdr>
        <w:bottom w:val="single" w:color="4F81BD" w:themeColor="accent1" w:sz="8" w:space="4"/>
      </w:pBdr>
      <w:spacing w:before="0" w:after="300" w:line="240" w:lineRule="auto"/>
      <w:contextualSpacing/>
    </w:pPr>
    <w:rPr>
      <w:rFonts w:asciiTheme="majorHAnsi" w:hAnsiTheme="majorHAnsi" w:eastAsiaTheme="majorEastAsia" w:cstheme="majorBidi"/>
      <w:color w:val="17365D" w:themeColor="text2" w:themeShade="BF"/>
      <w:spacing w:val="5"/>
      <w:kern w:val="2"/>
      <w:sz w:val="52"/>
      <w:szCs w:val="52"/>
      <w:lang w:eastAsia="pt-BR"/>
    </w:rPr>
  </w:style>
  <w:style w:type="paragraph" w:styleId="27">
    <w:name w:val="List Bullet 5"/>
    <w:basedOn w:val="1"/>
    <w:qFormat/>
    <w:uiPriority w:val="0"/>
    <w:pPr>
      <w:numPr>
        <w:ilvl w:val="0"/>
        <w:numId w:val="2"/>
      </w:numPr>
      <w:spacing w:before="0" w:after="0" w:line="240" w:lineRule="auto"/>
      <w:contextualSpacing/>
    </w:pPr>
    <w:rPr>
      <w:rFonts w:ascii="Ecofont_Spranq_eco_Sans" w:hAnsi="Ecofont_Spranq_eco_Sans" w:cs="Tahoma" w:eastAsiaTheme="minorEastAsia"/>
      <w:sz w:val="24"/>
      <w:szCs w:val="24"/>
      <w:lang w:eastAsia="pt-BR"/>
    </w:rPr>
  </w:style>
  <w:style w:type="paragraph" w:styleId="28">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29">
    <w:name w:val="toc 4"/>
    <w:basedOn w:val="18"/>
    <w:qFormat/>
    <w:uiPriority w:val="0"/>
  </w:style>
  <w:style w:type="paragraph" w:styleId="30">
    <w:name w:val="toc 8"/>
    <w:basedOn w:val="18"/>
    <w:qFormat/>
    <w:uiPriority w:val="0"/>
  </w:style>
  <w:style w:type="paragraph" w:styleId="31">
    <w:name w:val="index heading"/>
    <w:basedOn w:val="32"/>
    <w:qFormat/>
    <w:uiPriority w:val="0"/>
  </w:style>
  <w:style w:type="paragraph" w:customStyle="1" w:styleId="32">
    <w:name w:val="Título12"/>
    <w:basedOn w:val="1"/>
    <w:next w:val="20"/>
    <w:qFormat/>
    <w:uiPriority w:val="0"/>
    <w:pPr>
      <w:keepNext/>
      <w:spacing w:before="240" w:after="120"/>
    </w:pPr>
    <w:rPr>
      <w:rFonts w:ascii="Liberation Sans" w:hAnsi="Liberation Sans" w:eastAsia="Microsoft YaHei" w:cs="Arial"/>
      <w:sz w:val="28"/>
      <w:szCs w:val="28"/>
    </w:rPr>
  </w:style>
  <w:style w:type="paragraph" w:styleId="33">
    <w:name w:val="header"/>
    <w:basedOn w:val="1"/>
    <w:link w:val="52"/>
    <w:unhideWhenUsed/>
    <w:qFormat/>
    <w:uiPriority w:val="99"/>
    <w:pPr>
      <w:tabs>
        <w:tab w:val="center" w:pos="4252"/>
        <w:tab w:val="right" w:pos="8504"/>
      </w:tabs>
      <w:spacing w:before="0" w:after="0" w:line="240" w:lineRule="auto"/>
    </w:pPr>
  </w:style>
  <w:style w:type="paragraph" w:styleId="34">
    <w:name w:val="annotation subject"/>
    <w:basedOn w:val="23"/>
    <w:next w:val="23"/>
    <w:link w:val="50"/>
    <w:semiHidden/>
    <w:unhideWhenUsed/>
    <w:qFormat/>
    <w:uiPriority w:val="99"/>
    <w:rPr>
      <w:b/>
      <w:bCs/>
    </w:rPr>
  </w:style>
  <w:style w:type="paragraph" w:styleId="35">
    <w:name w:val="footer"/>
    <w:basedOn w:val="1"/>
    <w:link w:val="53"/>
    <w:unhideWhenUsed/>
    <w:qFormat/>
    <w:uiPriority w:val="99"/>
    <w:pPr>
      <w:tabs>
        <w:tab w:val="center" w:pos="4252"/>
        <w:tab w:val="right" w:pos="8504"/>
      </w:tabs>
      <w:spacing w:before="0" w:after="0" w:line="240" w:lineRule="auto"/>
    </w:pPr>
  </w:style>
  <w:style w:type="paragraph" w:styleId="36">
    <w:name w:val="caption"/>
    <w:basedOn w:val="1"/>
    <w:qFormat/>
    <w:uiPriority w:val="0"/>
    <w:pPr>
      <w:suppressLineNumbers/>
      <w:spacing w:before="120" w:after="120"/>
    </w:pPr>
    <w:rPr>
      <w:rFonts w:cs="Arial"/>
      <w:i/>
      <w:iCs/>
      <w:sz w:val="24"/>
      <w:szCs w:val="24"/>
    </w:rPr>
  </w:style>
  <w:style w:type="paragraph" w:styleId="37">
    <w:name w:val="toc 7"/>
    <w:basedOn w:val="18"/>
    <w:qFormat/>
    <w:uiPriority w:val="0"/>
  </w:style>
  <w:style w:type="paragraph" w:styleId="38">
    <w:name w:val="toc 3"/>
    <w:basedOn w:val="18"/>
    <w:qFormat/>
    <w:uiPriority w:val="0"/>
  </w:style>
  <w:style w:type="paragraph" w:styleId="39">
    <w:name w:val="Balloon Text"/>
    <w:basedOn w:val="1"/>
    <w:link w:val="51"/>
    <w:unhideWhenUsed/>
    <w:qFormat/>
    <w:uiPriority w:val="99"/>
    <w:pPr>
      <w:spacing w:before="0" w:after="0" w:line="240" w:lineRule="auto"/>
    </w:pPr>
    <w:rPr>
      <w:rFonts w:ascii="Tahoma" w:hAnsi="Tahoma" w:cs="Tahoma"/>
      <w:sz w:val="16"/>
      <w:szCs w:val="16"/>
    </w:rPr>
  </w:style>
  <w:style w:type="paragraph" w:styleId="40">
    <w:name w:val="footnote text"/>
    <w:basedOn w:val="1"/>
    <w:link w:val="56"/>
    <w:semiHidden/>
    <w:unhideWhenUsed/>
    <w:uiPriority w:val="99"/>
    <w:pPr>
      <w:spacing w:before="0" w:after="0" w:line="240" w:lineRule="auto"/>
    </w:pPr>
    <w:rPr>
      <w:sz w:val="20"/>
      <w:szCs w:val="20"/>
    </w:rPr>
  </w:style>
  <w:style w:type="paragraph" w:styleId="41">
    <w:name w:val="toc 1"/>
    <w:basedOn w:val="1"/>
    <w:next w:val="1"/>
    <w:unhideWhenUsed/>
    <w:qFormat/>
    <w:uiPriority w:val="39"/>
    <w:pPr>
      <w:spacing w:before="0" w:after="100"/>
    </w:pPr>
  </w:style>
  <w:style w:type="table" w:styleId="42">
    <w:name w:val="Table Grid"/>
    <w:basedOn w:val="9"/>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aracteres de nota de fim"/>
    <w:qFormat/>
    <w:uiPriority w:val="0"/>
    <w:rPr>
      <w:vertAlign w:val="superscript"/>
    </w:rPr>
  </w:style>
  <w:style w:type="character" w:customStyle="1" w:styleId="44">
    <w:name w:val="Caracteres de nota de rodapé"/>
    <w:semiHidden/>
    <w:unhideWhenUsed/>
    <w:qFormat/>
    <w:uiPriority w:val="99"/>
    <w:rPr>
      <w:vertAlign w:val="superscript"/>
    </w:rPr>
  </w:style>
  <w:style w:type="character" w:customStyle="1" w:styleId="45">
    <w:name w:val="normaltextrun"/>
    <w:basedOn w:val="8"/>
    <w:qFormat/>
    <w:uiPriority w:val="0"/>
  </w:style>
  <w:style w:type="character" w:customStyle="1" w:styleId="46">
    <w:name w:val="scxw155697705"/>
    <w:basedOn w:val="8"/>
    <w:qFormat/>
    <w:uiPriority w:val="0"/>
  </w:style>
  <w:style w:type="character" w:customStyle="1" w:styleId="47">
    <w:name w:val="eop"/>
    <w:basedOn w:val="8"/>
    <w:qFormat/>
    <w:uiPriority w:val="0"/>
  </w:style>
  <w:style w:type="character" w:customStyle="1" w:styleId="48">
    <w:name w:val="tabchar"/>
    <w:basedOn w:val="8"/>
    <w:qFormat/>
    <w:uiPriority w:val="0"/>
  </w:style>
  <w:style w:type="character" w:customStyle="1" w:styleId="49">
    <w:name w:val="Texto de comentário Char"/>
    <w:basedOn w:val="8"/>
    <w:link w:val="23"/>
    <w:qFormat/>
    <w:uiPriority w:val="99"/>
    <w:rPr>
      <w:sz w:val="20"/>
      <w:szCs w:val="20"/>
    </w:rPr>
  </w:style>
  <w:style w:type="character" w:customStyle="1" w:styleId="50">
    <w:name w:val="Assunto do comentário Char"/>
    <w:basedOn w:val="49"/>
    <w:link w:val="34"/>
    <w:semiHidden/>
    <w:qFormat/>
    <w:uiPriority w:val="99"/>
    <w:rPr>
      <w:b/>
      <w:bCs/>
      <w:sz w:val="20"/>
      <w:szCs w:val="20"/>
    </w:rPr>
  </w:style>
  <w:style w:type="character" w:customStyle="1" w:styleId="51">
    <w:name w:val="Texto de balão Char"/>
    <w:basedOn w:val="8"/>
    <w:link w:val="39"/>
    <w:qFormat/>
    <w:uiPriority w:val="99"/>
    <w:rPr>
      <w:rFonts w:ascii="Tahoma" w:hAnsi="Tahoma" w:cs="Tahoma"/>
      <w:sz w:val="16"/>
      <w:szCs w:val="16"/>
    </w:rPr>
  </w:style>
  <w:style w:type="character" w:customStyle="1" w:styleId="52">
    <w:name w:val="Cabeçalho Char"/>
    <w:basedOn w:val="8"/>
    <w:link w:val="33"/>
    <w:qFormat/>
    <w:uiPriority w:val="99"/>
  </w:style>
  <w:style w:type="character" w:customStyle="1" w:styleId="53">
    <w:name w:val="Rodapé Char"/>
    <w:basedOn w:val="8"/>
    <w:link w:val="35"/>
    <w:qFormat/>
    <w:uiPriority w:val="99"/>
  </w:style>
  <w:style w:type="character" w:customStyle="1" w:styleId="54">
    <w:name w:val="Hyperlink1"/>
    <w:basedOn w:val="8"/>
    <w:unhideWhenUsed/>
    <w:qFormat/>
    <w:uiPriority w:val="99"/>
    <w:rPr>
      <w:color w:val="0000FF" w:themeColor="hyperlink"/>
      <w:u w:val="single"/>
    </w:rPr>
  </w:style>
  <w:style w:type="character" w:customStyle="1" w:styleId="55">
    <w:name w:val="Unresolved Mention"/>
    <w:basedOn w:val="8"/>
    <w:semiHidden/>
    <w:unhideWhenUsed/>
    <w:qFormat/>
    <w:uiPriority w:val="99"/>
    <w:rPr>
      <w:color w:val="605E5C"/>
      <w:shd w:val="clear" w:fill="E1DFDD"/>
    </w:rPr>
  </w:style>
  <w:style w:type="character" w:customStyle="1" w:styleId="56">
    <w:name w:val="Texto de nota de rodapé Char"/>
    <w:basedOn w:val="8"/>
    <w:link w:val="40"/>
    <w:semiHidden/>
    <w:qFormat/>
    <w:uiPriority w:val="99"/>
    <w:rPr>
      <w:sz w:val="20"/>
      <w:szCs w:val="20"/>
    </w:rPr>
  </w:style>
  <w:style w:type="character" w:customStyle="1" w:styleId="57">
    <w:name w:val="Título 2 Char"/>
    <w:basedOn w:val="8"/>
    <w:qFormat/>
    <w:uiPriority w:val="0"/>
    <w:rPr>
      <w:rFonts w:ascii="Times New Roman" w:hAnsi="Times New Roman" w:eastAsia="Times New Roman" w:cs="Times New Roman"/>
      <w:b/>
      <w:bCs/>
      <w:sz w:val="36"/>
      <w:szCs w:val="36"/>
      <w:lang w:eastAsia="pt-BR"/>
    </w:rPr>
  </w:style>
  <w:style w:type="character" w:customStyle="1" w:styleId="58">
    <w:name w:val="producttitle"/>
    <w:basedOn w:val="8"/>
    <w:qFormat/>
    <w:uiPriority w:val="0"/>
  </w:style>
  <w:style w:type="character" w:customStyle="1" w:styleId="59">
    <w:name w:val="Parágrafo da Lista Char"/>
    <w:link w:val="60"/>
    <w:qFormat/>
    <w:locked/>
    <w:uiPriority w:val="34"/>
  </w:style>
  <w:style w:type="paragraph" w:styleId="60">
    <w:name w:val="List Paragraph"/>
    <w:basedOn w:val="1"/>
    <w:link w:val="59"/>
    <w:qFormat/>
    <w:uiPriority w:val="34"/>
    <w:pPr>
      <w:spacing w:before="0" w:after="200"/>
      <w:ind w:left="720"/>
      <w:contextualSpacing/>
    </w:pPr>
  </w:style>
  <w:style w:type="character" w:customStyle="1" w:styleId="61">
    <w:name w:val="Título 3 Char"/>
    <w:basedOn w:val="8"/>
    <w:qFormat/>
    <w:uiPriority w:val="9"/>
    <w:rPr>
      <w:rFonts w:asciiTheme="majorHAnsi" w:hAnsiTheme="majorHAnsi" w:eastAsiaTheme="majorEastAsia" w:cstheme="majorBidi"/>
      <w:color w:val="243F61" w:themeColor="accent1" w:themeShade="7F"/>
      <w:sz w:val="24"/>
      <w:szCs w:val="24"/>
    </w:rPr>
  </w:style>
  <w:style w:type="character" w:customStyle="1" w:styleId="62">
    <w:name w:val="Título 1 Char"/>
    <w:basedOn w:val="8"/>
    <w:qFormat/>
    <w:uiPriority w:val="9"/>
    <w:rPr>
      <w:rFonts w:ascii="Times New Roman" w:hAnsi="Times New Roman" w:eastAsia="Times New Roman" w:cs="Times New Roman"/>
      <w:b/>
      <w:bCs/>
      <w:sz w:val="24"/>
      <w:szCs w:val="24"/>
      <w:shd w:val="clear" w:fill="BFBFBF"/>
      <w:lang w:eastAsia="pt-BR"/>
    </w:rPr>
  </w:style>
  <w:style w:type="character" w:customStyle="1" w:styleId="63">
    <w:name w:val="apple-converted-space"/>
    <w:qFormat/>
    <w:uiPriority w:val="0"/>
  </w:style>
  <w:style w:type="character" w:customStyle="1" w:styleId="64">
    <w:name w:val="Nivel 2 Char"/>
    <w:basedOn w:val="8"/>
    <w:link w:val="65"/>
    <w:qFormat/>
    <w:locked/>
    <w:uiPriority w:val="0"/>
    <w:rPr>
      <w:rFonts w:ascii="Arial" w:hAnsi="Arial" w:eastAsia="Times New Roman" w:cs="Arial"/>
      <w:sz w:val="20"/>
      <w:szCs w:val="20"/>
      <w:lang w:eastAsia="pt-BR"/>
    </w:rPr>
  </w:style>
  <w:style w:type="paragraph" w:customStyle="1" w:styleId="65">
    <w:name w:val="Nivel 2"/>
    <w:basedOn w:val="1"/>
    <w:link w:val="64"/>
    <w:qFormat/>
    <w:uiPriority w:val="0"/>
    <w:pPr>
      <w:numPr>
        <w:ilvl w:val="1"/>
        <w:numId w:val="3"/>
      </w:numPr>
      <w:spacing w:before="120" w:after="120"/>
      <w:jc w:val="both"/>
    </w:pPr>
    <w:rPr>
      <w:rFonts w:ascii="Arial" w:hAnsi="Arial" w:eastAsia="Times New Roman" w:cs="Arial"/>
      <w:sz w:val="20"/>
      <w:szCs w:val="20"/>
      <w:lang w:eastAsia="pt-BR"/>
    </w:rPr>
  </w:style>
  <w:style w:type="character" w:customStyle="1" w:styleId="66">
    <w:name w:val="Nível 2 -Red Char"/>
    <w:basedOn w:val="64"/>
    <w:link w:val="67"/>
    <w:qFormat/>
    <w:uiPriority w:val="0"/>
    <w:rPr>
      <w:rFonts w:ascii="Arial" w:hAnsi="Arial" w:eastAsia="Times New Roman" w:cs="Arial"/>
      <w:i/>
      <w:iCs/>
      <w:color w:val="FF0000"/>
      <w:sz w:val="20"/>
      <w:szCs w:val="20"/>
      <w:lang w:eastAsia="pt-BR"/>
    </w:rPr>
  </w:style>
  <w:style w:type="paragraph" w:customStyle="1" w:styleId="67">
    <w:name w:val="Nível 2 -Red"/>
    <w:basedOn w:val="65"/>
    <w:link w:val="66"/>
    <w:qFormat/>
    <w:uiPriority w:val="0"/>
    <w:pPr>
      <w:numPr>
        <w:ilvl w:val="1"/>
        <w:numId w:val="4"/>
      </w:numPr>
      <w:ind w:left="0" w:firstLine="0"/>
    </w:pPr>
    <w:rPr>
      <w:i/>
      <w:iCs/>
      <w:color w:val="FF0000"/>
    </w:rPr>
  </w:style>
  <w:style w:type="character" w:customStyle="1" w:styleId="68">
    <w:name w:val="ou Char"/>
    <w:basedOn w:val="8"/>
    <w:link w:val="69"/>
    <w:qFormat/>
    <w:uiPriority w:val="0"/>
    <w:rPr>
      <w:rFonts w:ascii="Arial" w:hAnsi="Arial" w:cs="Arial"/>
      <w:b/>
      <w:bCs/>
      <w:i/>
      <w:iCs/>
      <w:color w:val="FF0000"/>
      <w:sz w:val="20"/>
      <w:szCs w:val="24"/>
      <w:u w:val="single"/>
      <w:lang w:eastAsia="pt-BR"/>
    </w:rPr>
  </w:style>
  <w:style w:type="paragraph" w:customStyle="1" w:styleId="69">
    <w:name w:val="ou"/>
    <w:basedOn w:val="60"/>
    <w:link w:val="68"/>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0">
    <w:name w:val="Nível 3-R Char"/>
    <w:basedOn w:val="8"/>
    <w:link w:val="71"/>
    <w:qFormat/>
    <w:uiPriority w:val="0"/>
    <w:rPr>
      <w:rFonts w:ascii="Arial" w:hAnsi="Arial" w:cs="Arial" w:eastAsiaTheme="minorEastAsia"/>
      <w:i/>
      <w:iCs/>
      <w:color w:val="FF0000"/>
      <w:sz w:val="20"/>
      <w:szCs w:val="20"/>
      <w:lang w:eastAsia="pt-BR"/>
    </w:rPr>
  </w:style>
  <w:style w:type="paragraph" w:customStyle="1" w:styleId="71">
    <w:name w:val="Nível 3-R"/>
    <w:basedOn w:val="1"/>
    <w:link w:val="70"/>
    <w:qFormat/>
    <w:uiPriority w:val="0"/>
    <w:pPr>
      <w:numPr>
        <w:ilvl w:val="2"/>
        <w:numId w:val="3"/>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2">
    <w:name w:val="SubTitNN Char"/>
    <w:basedOn w:val="8"/>
    <w:link w:val="73"/>
    <w:qFormat/>
    <w:uiPriority w:val="0"/>
    <w:rPr>
      <w:rFonts w:ascii="Arial" w:hAnsi="Arial" w:eastAsia="Times New Roman" w:cs="Arial"/>
      <w:b/>
      <w:bCs/>
      <w:iCs/>
      <w:sz w:val="20"/>
      <w:szCs w:val="20"/>
      <w:lang w:eastAsia="pt-BR"/>
    </w:rPr>
  </w:style>
  <w:style w:type="paragraph" w:customStyle="1" w:styleId="73">
    <w:name w:val="SubTitNN"/>
    <w:basedOn w:val="1"/>
    <w:link w:val="72"/>
    <w:qFormat/>
    <w:uiPriority w:val="0"/>
    <w:pPr>
      <w:spacing w:before="240" w:after="120"/>
      <w:jc w:val="both"/>
    </w:pPr>
    <w:rPr>
      <w:rFonts w:ascii="Arial" w:hAnsi="Arial" w:eastAsia="Times New Roman" w:cs="Arial"/>
      <w:b/>
      <w:bCs/>
      <w:iCs/>
      <w:sz w:val="20"/>
      <w:szCs w:val="20"/>
      <w:lang w:eastAsia="pt-BR"/>
    </w:rPr>
  </w:style>
  <w:style w:type="character" w:customStyle="1" w:styleId="74">
    <w:name w:val="Nível 3 Char"/>
    <w:basedOn w:val="70"/>
    <w:link w:val="75"/>
    <w:qFormat/>
    <w:uiPriority w:val="0"/>
    <w:rPr>
      <w:rFonts w:ascii="Arial" w:hAnsi="Arial" w:eastAsia="Times New Roman" w:cs="Arial"/>
      <w:i w:val="0"/>
      <w:iCs w:val="0"/>
      <w:color w:val="FF0000"/>
      <w:sz w:val="20"/>
      <w:szCs w:val="20"/>
      <w:lang w:eastAsia="pt-BR"/>
    </w:rPr>
  </w:style>
  <w:style w:type="paragraph" w:customStyle="1" w:styleId="75">
    <w:name w:val="Nível 3"/>
    <w:basedOn w:val="71"/>
    <w:link w:val="74"/>
    <w:qFormat/>
    <w:uiPriority w:val="0"/>
    <w:pPr>
      <w:numPr>
        <w:ilvl w:val="2"/>
        <w:numId w:val="4"/>
      </w:numPr>
      <w:ind w:left="284" w:firstLine="0"/>
    </w:pPr>
    <w:rPr>
      <w:rFonts w:eastAsia="Times New Roman"/>
      <w:i w:val="0"/>
      <w:iCs w:val="0"/>
    </w:rPr>
  </w:style>
  <w:style w:type="character" w:customStyle="1" w:styleId="76">
    <w:name w:val="Nível 4 Char"/>
    <w:basedOn w:val="74"/>
    <w:link w:val="77"/>
    <w:qFormat/>
    <w:uiPriority w:val="0"/>
    <w:rPr>
      <w:rFonts w:ascii="Arial" w:hAnsi="Arial" w:eastAsia="Times New Roman" w:cs="Arial"/>
      <w:color w:val="FF0000"/>
      <w:sz w:val="20"/>
      <w:szCs w:val="20"/>
      <w:lang w:eastAsia="pt-BR"/>
    </w:rPr>
  </w:style>
  <w:style w:type="paragraph" w:customStyle="1" w:styleId="77">
    <w:name w:val="Nível 4"/>
    <w:basedOn w:val="1"/>
    <w:link w:val="76"/>
    <w:qFormat/>
    <w:uiPriority w:val="0"/>
    <w:pPr>
      <w:numPr>
        <w:ilvl w:val="3"/>
        <w:numId w:val="3"/>
      </w:numPr>
      <w:spacing w:before="120" w:after="120"/>
      <w:ind w:left="567" w:firstLine="0"/>
      <w:jc w:val="both"/>
    </w:pPr>
    <w:rPr>
      <w:rFonts w:ascii="Arial" w:hAnsi="Arial" w:eastAsia="Times New Roman" w:cs="Arial"/>
      <w:sz w:val="20"/>
      <w:szCs w:val="20"/>
      <w:lang w:eastAsia="pt-BR"/>
    </w:rPr>
  </w:style>
  <w:style w:type="character" w:customStyle="1" w:styleId="78">
    <w:name w:val="markedcontent"/>
    <w:basedOn w:val="8"/>
    <w:qFormat/>
    <w:uiPriority w:val="0"/>
  </w:style>
  <w:style w:type="character" w:customStyle="1" w:styleId="79">
    <w:name w:val="highlight"/>
    <w:basedOn w:val="8"/>
    <w:qFormat/>
    <w:uiPriority w:val="0"/>
  </w:style>
  <w:style w:type="character" w:customStyle="1" w:styleId="80">
    <w:name w:val="Recuo de corpo de texto 2 Char"/>
    <w:basedOn w:val="8"/>
    <w:link w:val="25"/>
    <w:qFormat/>
    <w:uiPriority w:val="0"/>
    <w:rPr>
      <w:rFonts w:ascii="Arial Narrow" w:hAnsi="Arial Narrow" w:eastAsia="Times New Roman" w:cs="Times New Roman"/>
      <w:sz w:val="24"/>
      <w:szCs w:val="20"/>
      <w:lang w:eastAsia="pt-BR"/>
    </w:rPr>
  </w:style>
  <w:style w:type="character" w:customStyle="1" w:styleId="81">
    <w:name w:val="Corpo de texto Char"/>
    <w:basedOn w:val="8"/>
    <w:link w:val="20"/>
    <w:qFormat/>
    <w:uiPriority w:val="99"/>
  </w:style>
  <w:style w:type="character" w:customStyle="1" w:styleId="82">
    <w:name w:val="Nivel 3 Char"/>
    <w:basedOn w:val="8"/>
    <w:link w:val="83"/>
    <w:qFormat/>
    <w:uiPriority w:val="0"/>
    <w:rPr>
      <w:rFonts w:ascii="Arial" w:hAnsi="Arial" w:cs="Arial" w:eastAsiaTheme="minorEastAsia"/>
      <w:color w:val="000000"/>
      <w:sz w:val="20"/>
      <w:szCs w:val="20"/>
      <w:lang w:eastAsia="pt-BR"/>
    </w:rPr>
  </w:style>
  <w:style w:type="paragraph" w:customStyle="1" w:styleId="83">
    <w:name w:val="Nivel 3"/>
    <w:basedOn w:val="1"/>
    <w:link w:val="82"/>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84">
    <w:name w:val="Nivel 4 Char"/>
    <w:basedOn w:val="8"/>
    <w:link w:val="85"/>
    <w:qFormat/>
    <w:uiPriority w:val="0"/>
    <w:rPr>
      <w:rFonts w:ascii="Arial" w:hAnsi="Arial" w:cs="Arial" w:eastAsiaTheme="minorEastAsia"/>
      <w:sz w:val="20"/>
      <w:szCs w:val="20"/>
      <w:lang w:eastAsia="pt-BR"/>
    </w:rPr>
  </w:style>
  <w:style w:type="paragraph" w:customStyle="1" w:styleId="85">
    <w:name w:val="Nivel 4"/>
    <w:basedOn w:val="83"/>
    <w:link w:val="84"/>
    <w:qFormat/>
    <w:uiPriority w:val="0"/>
    <w:pPr>
      <w:ind w:left="567"/>
    </w:pPr>
    <w:rPr>
      <w:color w:val="auto"/>
    </w:rPr>
  </w:style>
  <w:style w:type="character" w:customStyle="1" w:styleId="86">
    <w:name w:val="cf01"/>
    <w:basedOn w:val="8"/>
    <w:qFormat/>
    <w:uiPriority w:val="0"/>
    <w:rPr>
      <w:rFonts w:ascii="Segoe UI" w:hAnsi="Segoe UI" w:cs="Segoe UI"/>
      <w:sz w:val="18"/>
      <w:szCs w:val="18"/>
    </w:rPr>
  </w:style>
  <w:style w:type="character" w:customStyle="1" w:styleId="87">
    <w:name w:val="Título 4 Char"/>
    <w:basedOn w:val="8"/>
    <w:semiHidden/>
    <w:qFormat/>
    <w:uiPriority w:val="0"/>
    <w:rPr>
      <w:rFonts w:asciiTheme="majorHAnsi" w:hAnsiTheme="majorHAnsi" w:eastAsiaTheme="majorEastAsia" w:cstheme="majorBidi"/>
      <w:i/>
      <w:iCs/>
      <w:color w:val="366091" w:themeColor="accent1" w:themeShade="BF"/>
      <w:sz w:val="24"/>
      <w:szCs w:val="24"/>
      <w:lang w:eastAsia="pt-BR"/>
    </w:rPr>
  </w:style>
  <w:style w:type="character" w:customStyle="1" w:styleId="88">
    <w:name w:val="Título 6 Char"/>
    <w:basedOn w:val="8"/>
    <w:semiHidden/>
    <w:qFormat/>
    <w:uiPriority w:val="9"/>
    <w:rPr>
      <w:rFonts w:asciiTheme="majorHAnsi" w:hAnsiTheme="majorHAnsi" w:eastAsiaTheme="majorEastAsia" w:cstheme="majorBidi"/>
      <w:color w:val="243F61" w:themeColor="accent1" w:themeShade="7F"/>
    </w:rPr>
  </w:style>
  <w:style w:type="character" w:customStyle="1" w:styleId="89">
    <w:name w:val="normal__char1"/>
    <w:qFormat/>
    <w:uiPriority w:val="0"/>
    <w:rPr>
      <w:rFonts w:ascii="Arial" w:hAnsi="Arial" w:cs="Arial"/>
      <w:sz w:val="24"/>
      <w:szCs w:val="24"/>
      <w:u w:val="none"/>
    </w:rPr>
  </w:style>
  <w:style w:type="character" w:customStyle="1" w:styleId="90">
    <w:name w:val="apple-style-span"/>
    <w:basedOn w:val="8"/>
    <w:qFormat/>
    <w:uiPriority w:val="0"/>
  </w:style>
  <w:style w:type="character" w:customStyle="1" w:styleId="91">
    <w:name w:val="Citação Char"/>
    <w:basedOn w:val="8"/>
    <w:link w:val="92"/>
    <w:qFormat/>
    <w:uiPriority w:val="0"/>
    <w:rPr>
      <w:rFonts w:ascii="Arial" w:hAnsi="Arial" w:eastAsia="Calibri" w:cs="Tahoma"/>
      <w:i/>
      <w:iCs/>
      <w:color w:val="000000"/>
      <w:sz w:val="20"/>
      <w:szCs w:val="24"/>
      <w:shd w:val="clear" w:fill="FFFFCC"/>
    </w:rPr>
  </w:style>
  <w:style w:type="paragraph" w:styleId="92">
    <w:name w:val="Quote"/>
    <w:basedOn w:val="1"/>
    <w:next w:val="1"/>
    <w:link w:val="91"/>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93">
    <w:name w:val="Nota explicativa Char"/>
    <w:basedOn w:val="91"/>
    <w:link w:val="94"/>
    <w:qFormat/>
    <w:uiPriority w:val="0"/>
    <w:rPr>
      <w:rFonts w:ascii="Arial" w:hAnsi="Arial" w:eastAsia="Calibri" w:cs="Tahoma"/>
      <w:color w:val="000000"/>
      <w:sz w:val="20"/>
      <w:szCs w:val="20"/>
      <w:shd w:val="clear" w:fill="FFFFCC"/>
    </w:rPr>
  </w:style>
  <w:style w:type="paragraph" w:customStyle="1" w:styleId="94">
    <w:name w:val="Nota explicativa"/>
    <w:basedOn w:val="92"/>
    <w:link w:val="93"/>
    <w:qFormat/>
    <w:uiPriority w:val="0"/>
    <w:rPr>
      <w:szCs w:val="20"/>
    </w:rPr>
  </w:style>
  <w:style w:type="character" w:customStyle="1" w:styleId="95">
    <w:name w:val="Título Char"/>
    <w:basedOn w:val="8"/>
    <w:link w:val="26"/>
    <w:qFormat/>
    <w:uiPriority w:val="0"/>
    <w:rPr>
      <w:rFonts w:asciiTheme="majorHAnsi" w:hAnsiTheme="majorHAnsi" w:eastAsiaTheme="majorEastAsia" w:cstheme="majorBidi"/>
      <w:color w:val="17365D" w:themeColor="text2" w:themeShade="BF"/>
      <w:spacing w:val="5"/>
      <w:kern w:val="2"/>
      <w:sz w:val="52"/>
      <w:szCs w:val="52"/>
      <w:lang w:eastAsia="pt-BR"/>
    </w:rPr>
  </w:style>
  <w:style w:type="character" w:customStyle="1" w:styleId="96">
    <w:name w:val="Nivel 01 Char"/>
    <w:basedOn w:val="95"/>
    <w:link w:val="97"/>
    <w:qFormat/>
    <w:uiPriority w:val="0"/>
    <w:rPr>
      <w:rFonts w:ascii="Arial" w:hAnsi="Arial" w:cs="Arial" w:eastAsiaTheme="majorEastAsia"/>
      <w:b/>
      <w:bCs/>
      <w:color w:val="17365D" w:themeColor="text2" w:themeShade="BF"/>
      <w:spacing w:val="5"/>
      <w:kern w:val="2"/>
      <w:sz w:val="20"/>
      <w:szCs w:val="20"/>
      <w:lang w:eastAsia="pt-BR"/>
    </w:rPr>
  </w:style>
  <w:style w:type="paragraph" w:customStyle="1" w:styleId="97">
    <w:name w:val="Nivel 01"/>
    <w:basedOn w:val="2"/>
    <w:next w:val="1"/>
    <w:link w:val="96"/>
    <w:qFormat/>
    <w:uiPriority w:val="0"/>
    <w:pPr>
      <w:keepNext/>
      <w:keepLines/>
      <w:numPr>
        <w:ilvl w:val="0"/>
        <w:numId w:val="3"/>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98">
    <w:name w:val="Nivel_01_Titulo Char"/>
    <w:basedOn w:val="96"/>
    <w:link w:val="99"/>
    <w:qFormat/>
    <w:uiPriority w:val="0"/>
    <w:rPr>
      <w:rFonts w:ascii="Arial" w:hAnsi="Arial" w:eastAsiaTheme="majorEastAsia" w:cstheme="majorBidi"/>
      <w:color w:val="000000" w:themeColor="text1"/>
      <w:spacing w:val="5"/>
      <w:kern w:val="2"/>
      <w:sz w:val="20"/>
      <w:szCs w:val="20"/>
      <w:lang w:eastAsia="pt-BR"/>
    </w:rPr>
  </w:style>
  <w:style w:type="paragraph" w:customStyle="1" w:styleId="99">
    <w:name w:val="Nivel_01_Titulo"/>
    <w:basedOn w:val="97"/>
    <w:link w:val="98"/>
    <w:qFormat/>
    <w:uiPriority w:val="0"/>
    <w:pPr>
      <w:numPr>
        <w:ilvl w:val="0"/>
        <w:numId w:val="4"/>
      </w:numPr>
      <w:spacing w:before="240" w:after="0" w:line="240" w:lineRule="auto"/>
      <w:ind w:left="0" w:firstLine="0"/>
      <w:jc w:val="left"/>
    </w:pPr>
    <w:rPr>
      <w:rFonts w:cstheme="majorBidi"/>
      <w:color w:val="000000" w:themeColor="text1"/>
      <w:spacing w:val="5"/>
      <w:kern w:val="2"/>
      <w:lang w:eastAsia="pt-BR"/>
    </w:rPr>
  </w:style>
  <w:style w:type="character" w:customStyle="1" w:styleId="100">
    <w:name w:val="Quote Char"/>
    <w:basedOn w:val="8"/>
    <w:link w:val="101"/>
    <w:qFormat/>
    <w:uiPriority w:val="0"/>
    <w:rPr>
      <w:rFonts w:ascii="Ecofont_Spranq_eco_Sans" w:hAnsi="Ecofont_Spranq_eco_Sans" w:eastAsia="Calibri" w:cs="Tahoma"/>
      <w:i/>
      <w:iCs/>
      <w:color w:val="000000"/>
      <w:shd w:val="clear" w:fill="FFFFCC"/>
    </w:rPr>
  </w:style>
  <w:style w:type="paragraph" w:customStyle="1" w:styleId="101">
    <w:name w:val="Citação1"/>
    <w:basedOn w:val="1"/>
    <w:next w:val="1"/>
    <w:link w:val="100"/>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2">
    <w:name w:val="spellingerror"/>
    <w:basedOn w:val="8"/>
    <w:qFormat/>
    <w:uiPriority w:val="0"/>
  </w:style>
  <w:style w:type="character" w:customStyle="1" w:styleId="103">
    <w:name w:val="Nivel1 Char"/>
    <w:basedOn w:val="62"/>
    <w:link w:val="104"/>
    <w:qFormat/>
    <w:uiPriority w:val="0"/>
    <w:rPr>
      <w:rFonts w:ascii="Arial" w:hAnsi="Arial" w:cs="Arial" w:eastAsiaTheme="majorEastAsia"/>
      <w:bCs w:val="0"/>
      <w:color w:val="000000"/>
      <w:sz w:val="28"/>
      <w:szCs w:val="28"/>
      <w:shd w:val="clear" w:fill="BFBFBF"/>
      <w:lang w:eastAsia="pt-BR"/>
    </w:rPr>
  </w:style>
  <w:style w:type="paragraph" w:customStyle="1" w:styleId="104">
    <w:name w:val="Nivel1"/>
    <w:basedOn w:val="2"/>
    <w:link w:val="103"/>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05">
    <w:name w:val="cp_0020corpodespacho__char1"/>
    <w:qFormat/>
    <w:uiPriority w:val="0"/>
    <w:rPr>
      <w:rFonts w:ascii="Times New Roman" w:hAnsi="Times New Roman" w:cs="Times New Roman"/>
      <w:sz w:val="26"/>
      <w:szCs w:val="26"/>
      <w:u w:val="none"/>
    </w:rPr>
  </w:style>
  <w:style w:type="character" w:customStyle="1" w:styleId="106">
    <w:name w:val="em_0020ementa__char1"/>
    <w:qFormat/>
    <w:uiPriority w:val="0"/>
    <w:rPr>
      <w:rFonts w:ascii="Times New Roman" w:hAnsi="Times New Roman" w:cs="Times New Roman"/>
      <w:sz w:val="28"/>
      <w:szCs w:val="28"/>
      <w:u w:val="none"/>
    </w:rPr>
  </w:style>
  <w:style w:type="character" w:customStyle="1" w:styleId="107">
    <w:name w:val="Manoel"/>
    <w:qFormat/>
    <w:uiPriority w:val="0"/>
    <w:rPr>
      <w:rFonts w:ascii="Arial" w:hAnsi="Arial" w:cs="Arial"/>
      <w:color w:val="7030A0"/>
      <w:sz w:val="20"/>
    </w:rPr>
  </w:style>
  <w:style w:type="character" w:customStyle="1" w:styleId="108">
    <w:name w:val="Grade Colorida - Ênfase 1 Char"/>
    <w:link w:val="109"/>
    <w:qFormat/>
    <w:uiPriority w:val="29"/>
    <w:rPr>
      <w:rFonts w:ascii="Arial" w:hAnsi="Arial" w:eastAsia="Calibri" w:cs="Times New Roman"/>
      <w:i/>
      <w:iCs/>
      <w:color w:val="000000"/>
      <w:sz w:val="20"/>
      <w:szCs w:val="24"/>
      <w:shd w:val="clear" w:fill="FFFFCC"/>
    </w:rPr>
  </w:style>
  <w:style w:type="paragraph" w:customStyle="1" w:styleId="109">
    <w:name w:val="Grade Colorida - Ênfase 11"/>
    <w:basedOn w:val="1"/>
    <w:next w:val="1"/>
    <w:link w:val="108"/>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0">
    <w:name w:val="Menção Pendente1"/>
    <w:basedOn w:val="8"/>
    <w:semiHidden/>
    <w:unhideWhenUsed/>
    <w:qFormat/>
    <w:uiPriority w:val="99"/>
    <w:rPr>
      <w:color w:val="605E5C"/>
      <w:shd w:val="clear" w:fill="E1DFDD"/>
    </w:rPr>
  </w:style>
  <w:style w:type="character" w:customStyle="1" w:styleId="111">
    <w:name w:val="Menção Pendente2"/>
    <w:basedOn w:val="8"/>
    <w:semiHidden/>
    <w:unhideWhenUsed/>
    <w:qFormat/>
    <w:uiPriority w:val="99"/>
    <w:rPr>
      <w:color w:val="605E5C"/>
      <w:shd w:val="clear" w:fill="E1DFDD"/>
    </w:rPr>
  </w:style>
  <w:style w:type="character" w:customStyle="1" w:styleId="112">
    <w:name w:val="Nível 2 Opcional Char"/>
    <w:basedOn w:val="8"/>
    <w:link w:val="113"/>
    <w:qFormat/>
    <w:uiPriority w:val="0"/>
    <w:rPr>
      <w:rFonts w:ascii="Arial" w:hAnsi="Arial" w:eastAsia="Times New Roman" w:cs="Arial"/>
      <w:i/>
      <w:color w:val="FF0000"/>
      <w:sz w:val="20"/>
      <w:szCs w:val="20"/>
      <w:lang w:eastAsia="pt-BR"/>
    </w:rPr>
  </w:style>
  <w:style w:type="paragraph" w:customStyle="1" w:styleId="113">
    <w:name w:val="Nível 2 Opcional"/>
    <w:basedOn w:val="65"/>
    <w:link w:val="112"/>
    <w:qFormat/>
    <w:uiPriority w:val="0"/>
    <w:pPr>
      <w:numPr>
        <w:ilvl w:val="0"/>
        <w:numId w:val="0"/>
      </w:numPr>
      <w:ind w:left="432" w:hanging="432"/>
    </w:pPr>
    <w:rPr>
      <w:i/>
      <w:color w:val="FF0000"/>
    </w:rPr>
  </w:style>
  <w:style w:type="character" w:customStyle="1" w:styleId="114">
    <w:name w:val="Nível 3 Opcional Char"/>
    <w:basedOn w:val="8"/>
    <w:link w:val="115"/>
    <w:qFormat/>
    <w:uiPriority w:val="0"/>
    <w:rPr>
      <w:rFonts w:ascii="Arial" w:hAnsi="Arial" w:eastAsia="Times New Roman" w:cs="Arial"/>
      <w:i/>
      <w:iCs/>
      <w:color w:val="FF0000"/>
      <w:sz w:val="20"/>
      <w:szCs w:val="20"/>
      <w:lang w:eastAsia="pt-BR"/>
    </w:rPr>
  </w:style>
  <w:style w:type="paragraph" w:customStyle="1" w:styleId="115">
    <w:name w:val="Nível 3 Opcional"/>
    <w:basedOn w:val="83"/>
    <w:link w:val="114"/>
    <w:qFormat/>
    <w:uiPriority w:val="0"/>
    <w:pPr>
      <w:ind w:left="1072" w:hanging="504"/>
    </w:pPr>
    <w:rPr>
      <w:rFonts w:eastAsia="Times New Roman"/>
      <w:i/>
      <w:iCs/>
      <w:color w:val="FF0000"/>
    </w:rPr>
  </w:style>
  <w:style w:type="character" w:styleId="116">
    <w:name w:val="Placeholder Text"/>
    <w:basedOn w:val="8"/>
    <w:semiHidden/>
    <w:qFormat/>
    <w:uiPriority w:val="67"/>
    <w:rPr>
      <w:color w:val="808080"/>
    </w:rPr>
  </w:style>
  <w:style w:type="character" w:customStyle="1" w:styleId="117">
    <w:name w:val="Menção Pendente3"/>
    <w:basedOn w:val="8"/>
    <w:semiHidden/>
    <w:unhideWhenUsed/>
    <w:qFormat/>
    <w:uiPriority w:val="99"/>
    <w:rPr>
      <w:color w:val="605E5C"/>
      <w:shd w:val="clear" w:fill="E1DFDD"/>
    </w:rPr>
  </w:style>
  <w:style w:type="character" w:customStyle="1" w:styleId="118">
    <w:name w:val="Menção Pendente4"/>
    <w:basedOn w:val="8"/>
    <w:semiHidden/>
    <w:unhideWhenUsed/>
    <w:qFormat/>
    <w:uiPriority w:val="99"/>
    <w:rPr>
      <w:color w:val="605E5C"/>
      <w:shd w:val="clear" w:fill="E1DFDD"/>
    </w:rPr>
  </w:style>
  <w:style w:type="character" w:customStyle="1" w:styleId="119">
    <w:name w:val="Nível 4-R Char"/>
    <w:basedOn w:val="84"/>
    <w:link w:val="120"/>
    <w:qFormat/>
    <w:uiPriority w:val="0"/>
    <w:rPr>
      <w:rFonts w:ascii="Arial" w:hAnsi="Arial" w:cs="Arial" w:eastAsiaTheme="minorEastAsia"/>
      <w:i/>
      <w:iCs/>
      <w:color w:val="FF0000"/>
      <w:sz w:val="20"/>
      <w:szCs w:val="20"/>
      <w:lang w:eastAsia="pt-BR"/>
    </w:rPr>
  </w:style>
  <w:style w:type="paragraph" w:customStyle="1" w:styleId="120">
    <w:name w:val="Nível 4-R"/>
    <w:basedOn w:val="85"/>
    <w:link w:val="119"/>
    <w:qFormat/>
    <w:uiPriority w:val="0"/>
    <w:pPr>
      <w:numPr>
        <w:ilvl w:val="3"/>
        <w:numId w:val="4"/>
      </w:numPr>
      <w:ind w:left="567" w:firstLine="0"/>
    </w:pPr>
    <w:rPr>
      <w:i/>
      <w:iCs/>
      <w:color w:val="FF0000"/>
    </w:rPr>
  </w:style>
  <w:style w:type="character" w:customStyle="1" w:styleId="121">
    <w:name w:val="Nível 1-Sem Num Char"/>
    <w:basedOn w:val="96"/>
    <w:link w:val="122"/>
    <w:qFormat/>
    <w:uiPriority w:val="0"/>
    <w:rPr>
      <w:rFonts w:ascii="Arial" w:hAnsi="Arial" w:cs="Arial" w:eastAsiaTheme="majorEastAsia"/>
      <w:color w:val="17365D" w:themeColor="text2" w:themeShade="BF"/>
      <w:spacing w:val="5"/>
      <w:kern w:val="2"/>
      <w:sz w:val="20"/>
      <w:szCs w:val="20"/>
      <w:lang w:eastAsia="pt-BR"/>
    </w:rPr>
  </w:style>
  <w:style w:type="paragraph" w:customStyle="1" w:styleId="122">
    <w:name w:val="Nível 1-Sem Num"/>
    <w:basedOn w:val="97"/>
    <w:link w:val="121"/>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23">
    <w:name w:val="Preâmbulo Char"/>
    <w:basedOn w:val="8"/>
    <w:link w:val="124"/>
    <w:qFormat/>
    <w:uiPriority w:val="0"/>
    <w:rPr>
      <w:rFonts w:ascii="Arial" w:hAnsi="Arial" w:eastAsia="Arial" w:cs="Arial"/>
      <w:bCs/>
      <w:sz w:val="20"/>
      <w:szCs w:val="20"/>
      <w:lang w:eastAsia="pt-BR"/>
    </w:rPr>
  </w:style>
  <w:style w:type="paragraph" w:customStyle="1" w:styleId="124">
    <w:name w:val="Preâmbulo"/>
    <w:basedOn w:val="1"/>
    <w:link w:val="123"/>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5">
    <w:name w:val="Menção Pendente5"/>
    <w:basedOn w:val="8"/>
    <w:semiHidden/>
    <w:unhideWhenUsed/>
    <w:qFormat/>
    <w:uiPriority w:val="99"/>
    <w:rPr>
      <w:color w:val="605E5C"/>
      <w:shd w:val="clear" w:fill="E1DFDD"/>
    </w:rPr>
  </w:style>
  <w:style w:type="character" w:customStyle="1" w:styleId="126">
    <w:name w:val="Vínculo de índice"/>
    <w:qFormat/>
    <w:uiPriority w:val="0"/>
  </w:style>
  <w:style w:type="character" w:customStyle="1" w:styleId="127">
    <w:name w:val="WW8Num4z0"/>
    <w:qFormat/>
    <w:uiPriority w:val="0"/>
    <w:rPr>
      <w:rFonts w:ascii="Arial" w:hAnsi="Arial" w:eastAsia="Arial" w:cs="Arial"/>
      <w:b/>
      <w:bCs/>
      <w:color w:val="000000"/>
      <w:kern w:val="2"/>
      <w:sz w:val="30"/>
      <w:szCs w:val="28"/>
      <w:lang w:val="pt-BR" w:eastAsia="ar-SA"/>
    </w:rPr>
  </w:style>
  <w:style w:type="character" w:customStyle="1" w:styleId="128">
    <w:name w:val="Fonte parág. padrão1"/>
    <w:qFormat/>
    <w:uiPriority w:val="0"/>
  </w:style>
  <w:style w:type="paragraph" w:customStyle="1" w:styleId="129">
    <w:name w:val="index heading1"/>
    <w:basedOn w:val="130"/>
    <w:qFormat/>
    <w:uiPriority w:val="0"/>
  </w:style>
  <w:style w:type="paragraph" w:customStyle="1" w:styleId="130">
    <w:name w:val="Título11"/>
    <w:basedOn w:val="1"/>
    <w:next w:val="20"/>
    <w:qFormat/>
    <w:uiPriority w:val="0"/>
    <w:pPr>
      <w:keepNext/>
      <w:spacing w:before="240" w:after="120"/>
    </w:pPr>
    <w:rPr>
      <w:rFonts w:ascii="Liberation Sans" w:hAnsi="Liberation Sans" w:eastAsia="Microsoft YaHei" w:cs="Arial"/>
      <w:sz w:val="28"/>
      <w:szCs w:val="28"/>
    </w:rPr>
  </w:style>
  <w:style w:type="paragraph" w:customStyle="1" w:styleId="131">
    <w:name w:val="Cabeçalho e Rodapé"/>
    <w:basedOn w:val="1"/>
    <w:qFormat/>
    <w:uiPriority w:val="0"/>
  </w:style>
  <w:style w:type="paragraph" w:customStyle="1" w:styleId="132">
    <w:name w:val="caption1"/>
    <w:basedOn w:val="1"/>
    <w:qFormat/>
    <w:uiPriority w:val="0"/>
    <w:pPr>
      <w:suppressLineNumbers/>
      <w:spacing w:before="120" w:after="120"/>
    </w:pPr>
    <w:rPr>
      <w:rFonts w:cs="Arial"/>
      <w:i/>
      <w:iCs/>
      <w:sz w:val="24"/>
      <w:szCs w:val="24"/>
    </w:rPr>
  </w:style>
  <w:style w:type="paragraph" w:customStyle="1" w:styleId="133">
    <w:name w:val="index heading11"/>
    <w:basedOn w:val="134"/>
    <w:qFormat/>
    <w:uiPriority w:val="0"/>
  </w:style>
  <w:style w:type="paragraph" w:customStyle="1" w:styleId="134">
    <w:name w:val="Título1"/>
    <w:basedOn w:val="1"/>
    <w:next w:val="20"/>
    <w:qFormat/>
    <w:uiPriority w:val="0"/>
    <w:pPr>
      <w:keepNext/>
      <w:spacing w:before="240" w:after="120"/>
    </w:pPr>
    <w:rPr>
      <w:rFonts w:ascii="Liberation Sans" w:hAnsi="Liberation Sans" w:eastAsia="Microsoft YaHei" w:cs="Arial"/>
      <w:sz w:val="28"/>
      <w:szCs w:val="28"/>
    </w:rPr>
  </w:style>
  <w:style w:type="paragraph" w:customStyle="1" w:styleId="135">
    <w:name w:val="caption11"/>
    <w:basedOn w:val="1"/>
    <w:qFormat/>
    <w:uiPriority w:val="0"/>
    <w:pPr>
      <w:suppressLineNumbers/>
      <w:spacing w:before="120" w:after="120"/>
    </w:pPr>
    <w:rPr>
      <w:rFonts w:cs="Arial"/>
      <w:i/>
      <w:iCs/>
      <w:sz w:val="24"/>
      <w:szCs w:val="24"/>
    </w:rPr>
  </w:style>
  <w:style w:type="paragraph" w:customStyle="1" w:styleId="136">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37">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66091" w:themeColor="accent1" w:themeShade="BF"/>
      <w:sz w:val="32"/>
      <w:szCs w:val="32"/>
    </w:rPr>
  </w:style>
  <w:style w:type="paragraph" w:customStyle="1" w:styleId="138">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39">
    <w:name w:val="Nivel 5"/>
    <w:basedOn w:val="85"/>
    <w:qFormat/>
    <w:uiPriority w:val="0"/>
    <w:pPr>
      <w:ind w:left="1276"/>
    </w:pPr>
  </w:style>
  <w:style w:type="paragraph" w:customStyle="1" w:styleId="140">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1">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42">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43">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44">
    <w:name w:val="Nivel 1"/>
    <w:basedOn w:val="65"/>
    <w:next w:val="65"/>
    <w:qFormat/>
    <w:uiPriority w:val="0"/>
    <w:pPr>
      <w:numPr>
        <w:ilvl w:val="0"/>
        <w:numId w:val="0"/>
      </w:numPr>
      <w:ind w:left="360" w:hanging="360"/>
    </w:pPr>
    <w:rPr>
      <w:rFonts w:eastAsiaTheme="minorEastAsia"/>
      <w:b/>
      <w:color w:val="000000"/>
    </w:rPr>
  </w:style>
  <w:style w:type="paragraph" w:customStyle="1" w:styleId="145">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6">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47">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48">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9">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51">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52">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3">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4">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56">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7">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61">
    <w:name w:val="Text body"/>
    <w:basedOn w:val="160"/>
    <w:qFormat/>
    <w:uiPriority w:val="0"/>
    <w:pPr>
      <w:spacing w:before="0" w:after="140" w:line="276" w:lineRule="auto"/>
    </w:pPr>
  </w:style>
  <w:style w:type="paragraph" w:customStyle="1" w:styleId="162">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citação 2"/>
    <w:basedOn w:val="92"/>
    <w:qFormat/>
    <w:uiPriority w:val="0"/>
    <w:pPr>
      <w:overflowPunct w:val="0"/>
    </w:pPr>
    <w:rPr>
      <w:szCs w:val="20"/>
    </w:rPr>
  </w:style>
  <w:style w:type="paragraph" w:customStyle="1" w:styleId="164">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Conteúdo da tabela"/>
    <w:basedOn w:val="1"/>
    <w:qFormat/>
    <w:uiPriority w:val="0"/>
    <w:pPr>
      <w:suppressAutoHyphens/>
    </w:pPr>
    <w:rPr>
      <w:lang w:eastAsia="ar-SA"/>
    </w:rPr>
  </w:style>
  <w:style w:type="paragraph" w:customStyle="1" w:styleId="169">
    <w:name w:val="Título de tabela"/>
    <w:basedOn w:val="168"/>
    <w:qFormat/>
    <w:uiPriority w:val="0"/>
    <w:pPr>
      <w:suppressLineNumbers/>
      <w:jc w:val="center"/>
    </w:pPr>
    <w:rPr>
      <w:b/>
      <w:bCs/>
    </w:rPr>
  </w:style>
  <w:style w:type="paragraph" w:customStyle="1" w:styleId="170">
    <w:name w:val="Table Paragraph"/>
    <w:basedOn w:val="1"/>
    <w:qFormat/>
    <w:uiPriority w:val="0"/>
  </w:style>
  <w:style w:type="paragraph" w:styleId="171">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72">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table" w:customStyle="1" w:styleId="173">
    <w:name w:val="List Table 2"/>
    <w:basedOn w:val="9"/>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33437</Words>
  <Characters>189035</Characters>
  <Paragraphs>1495</Paragraphs>
  <TotalTime>8</TotalTime>
  <ScaleCrop>false</ScaleCrop>
  <LinksUpToDate>false</LinksUpToDate>
  <CharactersWithSpaces>220358</CharactersWithSpaces>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2023-08-29T13:09:00Z</dcterms:created>
  <dc:creator>Nilson</dc:creator>
  <cp:lastModifiedBy>Licitações e Contratos Câma</cp:lastModifiedBy>
  <cp:lastPrinted>2024-03-06T19:02:40Z</cp:lastPrinted>
  <dcterms:modified xsi:type="dcterms:W3CDTF">2024-03-06T19:02:57Z</dcterms:modified>
  <dc:title>Minuta Edital de Pregão - Serviços com SRP</dc:title>
  <cp:revision>1327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74057C4FAE744338ABF96E110D5224C4_12</vt:lpwstr>
  </property>
  <property fmtid="{D5CDD505-2E9C-101B-9397-08002B2CF9AE}" pid="4" name="KSOProductBuildVer">
    <vt:lpwstr>1046-12.2.0.13489</vt:lpwstr>
  </property>
</Properties>
</file>