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7D822">
      <w:pPr>
        <w:pStyle w:val="50"/>
        <w:spacing w:before="600" w:beforeAutospacing="0" w:after="0" w:afterAutospacing="0"/>
        <w:jc w:val="center"/>
        <w:textAlignment w:val="baseline"/>
        <w:rPr>
          <w:sz w:val="23"/>
          <w:szCs w:val="23"/>
          <w:u w:val="none"/>
        </w:rPr>
      </w:pPr>
      <w:r>
        <w:rPr>
          <w:rStyle w:val="53"/>
          <w:rFonts w:hint="default"/>
          <w:b/>
          <w:bCs/>
          <w:color w:val="000000"/>
          <w:sz w:val="23"/>
          <w:szCs w:val="23"/>
          <w:u w:val="none"/>
          <w:shd w:val="clear" w:fill="auto"/>
          <w:lang w:val="pt-BR"/>
        </w:rPr>
        <w:t xml:space="preserve"> </w:t>
      </w:r>
      <w:r>
        <w:rPr>
          <w:rStyle w:val="53"/>
          <w:b/>
          <w:bCs/>
          <w:color w:val="000000"/>
          <w:sz w:val="23"/>
          <w:szCs w:val="23"/>
          <w:u w:val="none"/>
          <w:shd w:val="clear" w:fill="auto"/>
        </w:rPr>
        <w:t xml:space="preserve">EDITAL DO PREGÃO Nº </w:t>
      </w:r>
      <w:r>
        <w:rPr>
          <w:rStyle w:val="53"/>
          <w:rFonts w:hint="default"/>
          <w:b/>
          <w:bCs/>
          <w:color w:val="000000"/>
          <w:sz w:val="23"/>
          <w:szCs w:val="23"/>
          <w:u w:val="none"/>
          <w:shd w:val="clear" w:fill="auto"/>
          <w:lang w:val="pt-BR"/>
        </w:rPr>
        <w:t>17/</w:t>
      </w:r>
      <w:r>
        <w:rPr>
          <w:rStyle w:val="53"/>
          <w:b/>
          <w:bCs/>
          <w:color w:val="000000"/>
          <w:sz w:val="23"/>
          <w:szCs w:val="23"/>
          <w:u w:val="none"/>
          <w:shd w:val="clear" w:fill="auto"/>
        </w:rPr>
        <w:t>2024</w:t>
      </w:r>
    </w:p>
    <w:p w14:paraId="050B2F7A">
      <w:pPr>
        <w:pStyle w:val="50"/>
        <w:spacing w:before="0" w:beforeAutospacing="0" w:after="600" w:afterAutospacing="0"/>
        <w:jc w:val="center"/>
        <w:textAlignment w:val="baseline"/>
        <w:rPr>
          <w:rFonts w:hint="default"/>
          <w:sz w:val="23"/>
          <w:szCs w:val="23"/>
          <w:lang w:val="pt-BR"/>
        </w:rPr>
      </w:pPr>
      <w:r>
        <w:rPr>
          <w:rStyle w:val="53"/>
          <w:b/>
          <w:bCs/>
          <w:color w:val="000000"/>
          <w:sz w:val="23"/>
          <w:szCs w:val="23"/>
          <w:shd w:val="clear" w:fill="auto"/>
        </w:rPr>
        <w:t>PROCESSO ADMINISTRATIVO</w:t>
      </w:r>
      <w:r>
        <w:rPr>
          <w:rStyle w:val="53"/>
          <w:rFonts w:hint="default"/>
          <w:b/>
          <w:bCs/>
          <w:color w:val="000000"/>
          <w:sz w:val="23"/>
          <w:szCs w:val="23"/>
          <w:shd w:val="clear" w:fill="auto"/>
          <w:lang w:val="pt-BR"/>
        </w:rPr>
        <w:t xml:space="preserve"> Nº 46/</w:t>
      </w:r>
      <w:r>
        <w:rPr>
          <w:rStyle w:val="53"/>
          <w:b/>
          <w:bCs/>
          <w:color w:val="000000"/>
          <w:sz w:val="23"/>
          <w:szCs w:val="23"/>
          <w:shd w:val="clear" w:fill="auto"/>
        </w:rPr>
        <w:t>202</w:t>
      </w:r>
      <w:r>
        <w:rPr>
          <w:rStyle w:val="53"/>
          <w:rFonts w:hint="default"/>
          <w:b/>
          <w:bCs/>
          <w:color w:val="000000"/>
          <w:sz w:val="23"/>
          <w:szCs w:val="23"/>
          <w:shd w:val="clear" w:fill="auto"/>
          <w:lang w:val="pt-BR"/>
        </w:rPr>
        <w:t>4</w:t>
      </w:r>
    </w:p>
    <w:tbl>
      <w:tblPr>
        <w:tblStyle w:val="185"/>
        <w:tblW w:w="9125" w:type="dxa"/>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fixed"/>
        <w:tblCellMar>
          <w:top w:w="0" w:type="dxa"/>
          <w:left w:w="108" w:type="dxa"/>
          <w:bottom w:w="0" w:type="dxa"/>
          <w:right w:w="108" w:type="dxa"/>
        </w:tblCellMar>
      </w:tblPr>
      <w:tblGrid>
        <w:gridCol w:w="2259"/>
        <w:gridCol w:w="1703"/>
        <w:gridCol w:w="136"/>
        <w:gridCol w:w="2607"/>
        <w:gridCol w:w="73"/>
        <w:gridCol w:w="2294"/>
        <w:gridCol w:w="53"/>
      </w:tblGrid>
      <w:tr w14:paraId="2EB39B8D">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vAlign w:val="center"/>
          </w:tcPr>
          <w:p w14:paraId="3B1D6466">
            <w:pPr>
              <w:pStyle w:val="50"/>
              <w:widowControl/>
              <w:suppressAutoHyphens/>
              <w:spacing w:before="120" w:beforeAutospacing="0" w:after="120" w:afterAutospacing="0" w:line="240" w:lineRule="auto"/>
              <w:jc w:val="center"/>
              <w:textAlignment w:val="baseline"/>
              <w:rPr>
                <w:b/>
                <w:bCs/>
                <w:sz w:val="22"/>
                <w:szCs w:val="22"/>
              </w:rPr>
            </w:pPr>
            <w:r>
              <w:rPr>
                <w:rStyle w:val="53"/>
                <w:b/>
                <w:bCs/>
                <w:color w:val="000000"/>
                <w:kern w:val="0"/>
                <w:sz w:val="22"/>
                <w:szCs w:val="22"/>
                <w:u w:val="none"/>
                <w:lang w:val="pt-BR" w:bidi="ar-SA"/>
              </w:rPr>
              <w:t>Resumo do Certame Licitatório</w:t>
            </w:r>
          </w:p>
        </w:tc>
        <w:tc>
          <w:tcPr>
            <w:tcW w:w="53" w:type="dxa"/>
            <w:tcBorders>
              <w:top w:val="nil"/>
              <w:bottom w:val="nil"/>
            </w:tcBorders>
            <w:vAlign w:val="center"/>
          </w:tcPr>
          <w:p w14:paraId="57017AB8">
            <w:pPr>
              <w:widowControl/>
              <w:suppressAutoHyphens/>
              <w:spacing w:before="0" w:after="0" w:line="240" w:lineRule="auto"/>
              <w:jc w:val="left"/>
              <w:rPr>
                <w:rFonts w:ascii="Times New Roman" w:hAnsi="Times New Roman" w:eastAsia="Calibri"/>
                <w:b/>
                <w:bCs/>
                <w:kern w:val="0"/>
                <w:sz w:val="22"/>
                <w:szCs w:val="22"/>
                <w:lang w:val="pt-BR" w:eastAsia="en-US" w:bidi="ar-SA"/>
              </w:rPr>
            </w:pPr>
          </w:p>
        </w:tc>
      </w:tr>
      <w:tr w14:paraId="52EF7A75">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6778" w:type="dxa"/>
            <w:gridSpan w:val="5"/>
            <w:shd w:val="clear" w:color="auto" w:fill="DDDDDD"/>
            <w:vAlign w:val="center"/>
          </w:tcPr>
          <w:p w14:paraId="1782AB66">
            <w:pPr>
              <w:pStyle w:val="50"/>
              <w:widowControl/>
              <w:suppressAutoHyphens/>
              <w:spacing w:before="0" w:beforeAutospacing="0" w:after="0" w:afterAutospacing="0" w:line="240" w:lineRule="auto"/>
              <w:jc w:val="left"/>
              <w:textAlignment w:val="baseline"/>
              <w:rPr>
                <w:b/>
                <w:bCs/>
                <w:sz w:val="22"/>
                <w:szCs w:val="22"/>
              </w:rPr>
            </w:pPr>
            <w:r>
              <w:rPr>
                <w:rStyle w:val="53"/>
                <w:b w:val="0"/>
                <w:bCs w:val="0"/>
                <w:color w:val="000000"/>
                <w:kern w:val="0"/>
                <w:sz w:val="22"/>
                <w:szCs w:val="22"/>
                <w:lang w:val="pt-BR" w:bidi="ar-SA"/>
              </w:rPr>
              <w:t>Órgão Gerenciador:</w:t>
            </w:r>
          </w:p>
          <w:p w14:paraId="29EEEA9B">
            <w:pPr>
              <w:pStyle w:val="50"/>
              <w:widowControl/>
              <w:suppressAutoHyphens/>
              <w:spacing w:before="0" w:beforeAutospacing="0" w:after="0" w:afterAutospacing="0" w:line="240" w:lineRule="auto"/>
              <w:ind w:left="0" w:leftChars="0" w:firstLine="0" w:firstLineChars="0"/>
              <w:jc w:val="left"/>
              <w:textAlignment w:val="baseline"/>
              <w:rPr>
                <w:b/>
                <w:bCs/>
                <w:sz w:val="22"/>
                <w:szCs w:val="22"/>
              </w:rPr>
            </w:pPr>
            <w:r>
              <w:rPr>
                <w:rStyle w:val="53"/>
                <w:b/>
                <w:bCs/>
                <w:kern w:val="0"/>
                <w:sz w:val="22"/>
                <w:szCs w:val="22"/>
                <w:lang w:val="pt-BR" w:bidi="ar-SA"/>
              </w:rPr>
              <w:t>Câmara Municipal de Primavera do Leste - MT</w:t>
            </w:r>
          </w:p>
        </w:tc>
        <w:tc>
          <w:tcPr>
            <w:tcW w:w="2347" w:type="dxa"/>
            <w:gridSpan w:val="2"/>
            <w:shd w:val="clear" w:color="auto" w:fill="DDDDDD"/>
            <w:vAlign w:val="center"/>
          </w:tcPr>
          <w:p w14:paraId="5C2172A7">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CNPJ:</w:t>
            </w:r>
          </w:p>
          <w:p w14:paraId="4894B84B">
            <w:pPr>
              <w:pStyle w:val="50"/>
              <w:widowControl/>
              <w:suppressAutoHyphens/>
              <w:spacing w:before="0" w:beforeAutospacing="0" w:after="0" w:afterAutospacing="0" w:line="240" w:lineRule="auto"/>
              <w:jc w:val="left"/>
              <w:textAlignment w:val="baseline"/>
              <w:rPr>
                <w:sz w:val="22"/>
                <w:szCs w:val="22"/>
              </w:rPr>
            </w:pPr>
            <w:r>
              <w:rPr>
                <w:rStyle w:val="53"/>
                <w:b/>
                <w:bCs/>
                <w:color w:val="000000"/>
                <w:kern w:val="0"/>
                <w:sz w:val="22"/>
                <w:szCs w:val="22"/>
                <w:u w:val="none"/>
                <w:lang w:val="pt-BR"/>
              </w:rPr>
              <w:t>24.672.727/0001-83</w:t>
            </w:r>
          </w:p>
        </w:tc>
      </w:tr>
      <w:tr w14:paraId="57865B7C">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vAlign w:val="center"/>
          </w:tcPr>
          <w:p w14:paraId="2A711690">
            <w:pPr>
              <w:pStyle w:val="50"/>
              <w:widowControl/>
              <w:suppressAutoHyphens/>
              <w:spacing w:before="0" w:beforeAutospacing="0" w:after="0" w:afterAutospacing="0" w:line="240" w:lineRule="auto"/>
              <w:jc w:val="left"/>
              <w:textAlignment w:val="baseline"/>
              <w:rPr>
                <w:b/>
                <w:bCs/>
                <w:sz w:val="22"/>
                <w:szCs w:val="22"/>
              </w:rPr>
            </w:pPr>
            <w:r>
              <w:rPr>
                <w:rStyle w:val="53"/>
                <w:b w:val="0"/>
                <w:bCs w:val="0"/>
                <w:color w:val="000000"/>
                <w:kern w:val="0"/>
                <w:sz w:val="22"/>
                <w:szCs w:val="22"/>
                <w:lang w:val="pt-BR" w:bidi="ar-SA"/>
              </w:rPr>
              <w:t>Modalidade:</w:t>
            </w:r>
          </w:p>
          <w:p w14:paraId="74EC3D7F">
            <w:pPr>
              <w:pStyle w:val="50"/>
              <w:widowControl/>
              <w:suppressAutoHyphens/>
              <w:spacing w:before="0" w:beforeAutospacing="0" w:after="0" w:afterAutospacing="0" w:line="240" w:lineRule="auto"/>
              <w:jc w:val="left"/>
              <w:textAlignment w:val="baseline"/>
              <w:rPr>
                <w:b/>
                <w:bCs/>
                <w:sz w:val="22"/>
                <w:szCs w:val="22"/>
              </w:rPr>
            </w:pPr>
            <w:r>
              <w:rPr>
                <w:rStyle w:val="53"/>
                <w:b/>
                <w:bCs/>
                <w:color w:val="000000"/>
                <w:kern w:val="0"/>
                <w:sz w:val="22"/>
                <w:szCs w:val="22"/>
                <w:lang w:val="pt-BR" w:bidi="ar-SA"/>
              </w:rPr>
              <w:t>Pregão</w:t>
            </w:r>
          </w:p>
        </w:tc>
        <w:tc>
          <w:tcPr>
            <w:tcW w:w="1703" w:type="dxa"/>
            <w:vAlign w:val="center"/>
          </w:tcPr>
          <w:p w14:paraId="3EA45CA7">
            <w:pPr>
              <w:pStyle w:val="50"/>
              <w:widowControl/>
              <w:suppressAutoHyphens/>
              <w:spacing w:before="0" w:beforeAutospacing="0" w:after="0" w:afterAutospacing="0" w:line="240" w:lineRule="auto"/>
              <w:jc w:val="left"/>
              <w:textAlignment w:val="baseline"/>
              <w:rPr>
                <w:sz w:val="22"/>
                <w:szCs w:val="22"/>
              </w:rPr>
            </w:pPr>
            <w:r>
              <w:rPr>
                <w:rStyle w:val="53"/>
                <w:color w:val="000000"/>
                <w:kern w:val="0"/>
                <w:sz w:val="22"/>
                <w:szCs w:val="22"/>
                <w:lang w:val="pt-BR" w:bidi="ar-SA"/>
              </w:rPr>
              <w:t>Forma:</w:t>
            </w:r>
          </w:p>
          <w:p w14:paraId="7350433B">
            <w:pPr>
              <w:pStyle w:val="50"/>
              <w:widowControl/>
              <w:suppressAutoHyphens/>
              <w:spacing w:before="0" w:beforeAutospacing="0" w:after="0" w:afterAutospacing="0" w:line="240" w:lineRule="auto"/>
              <w:jc w:val="left"/>
              <w:textAlignment w:val="baseline"/>
              <w:rPr>
                <w:sz w:val="22"/>
                <w:szCs w:val="22"/>
              </w:rPr>
            </w:pPr>
            <w:r>
              <w:rPr>
                <w:rStyle w:val="53"/>
                <w:b/>
                <w:bCs/>
                <w:color w:val="000000"/>
                <w:kern w:val="0"/>
                <w:sz w:val="22"/>
                <w:szCs w:val="22"/>
                <w:lang w:val="pt-BR" w:bidi="ar-SA"/>
              </w:rPr>
              <w:t>Eletrônica</w:t>
            </w:r>
          </w:p>
        </w:tc>
        <w:tc>
          <w:tcPr>
            <w:tcW w:w="2743" w:type="dxa"/>
            <w:gridSpan w:val="2"/>
            <w:vAlign w:val="center"/>
          </w:tcPr>
          <w:p w14:paraId="278C5754">
            <w:pPr>
              <w:pStyle w:val="50"/>
              <w:widowControl/>
              <w:suppressAutoHyphens/>
              <w:spacing w:before="0" w:beforeAutospacing="0" w:after="0" w:afterAutospacing="0" w:line="240" w:lineRule="auto"/>
              <w:jc w:val="left"/>
              <w:textAlignment w:val="baseline"/>
              <w:rPr>
                <w:sz w:val="22"/>
                <w:szCs w:val="22"/>
              </w:rPr>
            </w:pPr>
            <w:r>
              <w:rPr>
                <w:rStyle w:val="55"/>
                <w:color w:val="000000"/>
                <w:kern w:val="0"/>
                <w:sz w:val="22"/>
                <w:szCs w:val="22"/>
                <w:lang w:val="pt-BR" w:bidi="ar-SA"/>
              </w:rPr>
              <w:t>Modo de Disputa:</w:t>
            </w:r>
          </w:p>
          <w:p w14:paraId="2C417CA8">
            <w:pPr>
              <w:pStyle w:val="50"/>
              <w:widowControl/>
              <w:suppressAutoHyphens/>
              <w:spacing w:before="0" w:beforeAutospacing="0" w:after="0" w:afterAutospacing="0" w:line="240" w:lineRule="auto"/>
              <w:jc w:val="left"/>
              <w:textAlignment w:val="baseline"/>
              <w:rPr>
                <w:sz w:val="22"/>
                <w:szCs w:val="22"/>
              </w:rPr>
            </w:pPr>
            <w:r>
              <w:rPr>
                <w:rStyle w:val="55"/>
                <w:b/>
                <w:bCs/>
                <w:color w:val="000000"/>
                <w:kern w:val="0"/>
                <w:sz w:val="22"/>
                <w:szCs w:val="22"/>
                <w:shd w:val="clear" w:fill="auto"/>
                <w:lang w:val="pt-BR" w:bidi="ar-SA"/>
              </w:rPr>
              <w:t>Aberto</w:t>
            </w:r>
          </w:p>
        </w:tc>
        <w:tc>
          <w:tcPr>
            <w:tcW w:w="2367" w:type="dxa"/>
            <w:gridSpan w:val="2"/>
            <w:vAlign w:val="center"/>
          </w:tcPr>
          <w:p w14:paraId="466E2017">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Critério de Julgamento:</w:t>
            </w:r>
          </w:p>
          <w:p w14:paraId="0631A28E">
            <w:pPr>
              <w:pStyle w:val="50"/>
              <w:widowControl/>
              <w:suppressAutoHyphens/>
              <w:spacing w:before="0" w:beforeAutospacing="0" w:after="0" w:afterAutospacing="0" w:line="240" w:lineRule="auto"/>
              <w:jc w:val="left"/>
              <w:textAlignment w:val="baseline"/>
              <w:rPr>
                <w:rFonts w:hint="default"/>
                <w:sz w:val="22"/>
                <w:szCs w:val="22"/>
                <w:lang w:val="pt-BR"/>
              </w:rPr>
            </w:pPr>
            <w:r>
              <w:rPr>
                <w:rStyle w:val="53"/>
                <w:b/>
                <w:bCs/>
                <w:color w:val="000000" w:themeColor="text1"/>
                <w:kern w:val="0"/>
                <w:sz w:val="22"/>
                <w:szCs w:val="22"/>
                <w:lang w:val="pt-BR" w:bidi="ar-SA"/>
                <w14:textFill>
                  <w14:solidFill>
                    <w14:schemeClr w14:val="tx1"/>
                  </w14:solidFill>
                </w14:textFill>
              </w:rPr>
              <w:t xml:space="preserve">MENOR PREÇO POR </w:t>
            </w:r>
            <w:r>
              <w:rPr>
                <w:rStyle w:val="53"/>
                <w:rFonts w:hint="default"/>
                <w:b/>
                <w:bCs/>
                <w:color w:val="000000" w:themeColor="text1"/>
                <w:kern w:val="0"/>
                <w:sz w:val="22"/>
                <w:szCs w:val="22"/>
                <w:lang w:val="pt-BR" w:bidi="ar-SA"/>
                <w14:textFill>
                  <w14:solidFill>
                    <w14:schemeClr w14:val="tx1"/>
                  </w14:solidFill>
                </w14:textFill>
              </w:rPr>
              <w:t>LOTE</w:t>
            </w:r>
          </w:p>
        </w:tc>
        <w:tc>
          <w:tcPr>
            <w:tcW w:w="53" w:type="dxa"/>
            <w:tcBorders>
              <w:top w:val="nil"/>
              <w:bottom w:val="nil"/>
            </w:tcBorders>
            <w:vAlign w:val="center"/>
          </w:tcPr>
          <w:p w14:paraId="72627EC5">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1B4EDA71">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vAlign w:val="center"/>
          </w:tcPr>
          <w:p w14:paraId="5C142D4A">
            <w:pPr>
              <w:pStyle w:val="50"/>
              <w:widowControl/>
              <w:suppressAutoHyphens/>
              <w:spacing w:before="0" w:beforeAutospacing="0" w:after="0" w:afterAutospacing="0" w:line="240" w:lineRule="auto"/>
              <w:jc w:val="left"/>
              <w:textAlignment w:val="baseline"/>
              <w:rPr>
                <w:rStyle w:val="53"/>
                <w:b w:val="0"/>
                <w:bCs w:val="0"/>
                <w:color w:val="000000" w:themeColor="text1"/>
                <w:kern w:val="0"/>
                <w:sz w:val="22"/>
                <w:szCs w:val="22"/>
                <w:lang w:val="pt-BR" w:bidi="ar-SA"/>
                <w14:textFill>
                  <w14:solidFill>
                    <w14:schemeClr w14:val="tx1"/>
                  </w14:solidFill>
                </w14:textFill>
              </w:rPr>
            </w:pPr>
            <w:r>
              <w:rPr>
                <w:rStyle w:val="53"/>
                <w:b w:val="0"/>
                <w:bCs w:val="0"/>
                <w:color w:val="000000" w:themeColor="text1"/>
                <w:kern w:val="0"/>
                <w:sz w:val="22"/>
                <w:szCs w:val="22"/>
                <w:lang w:val="pt-BR" w:bidi="ar-SA"/>
                <w14:textFill>
                  <w14:solidFill>
                    <w14:schemeClr w14:val="tx1"/>
                  </w14:solidFill>
                </w14:textFill>
              </w:rPr>
              <w:t>Data:</w:t>
            </w:r>
          </w:p>
          <w:p w14:paraId="673E28E5">
            <w:pPr>
              <w:pStyle w:val="50"/>
              <w:widowControl/>
              <w:suppressAutoHyphens/>
              <w:spacing w:before="0" w:beforeAutospacing="0" w:after="0" w:afterAutospacing="0" w:line="240" w:lineRule="auto"/>
              <w:jc w:val="left"/>
              <w:textAlignment w:val="baseline"/>
              <w:rPr>
                <w:b/>
                <w:bCs/>
                <w:sz w:val="22"/>
                <w:szCs w:val="22"/>
              </w:rPr>
            </w:pPr>
            <w:r>
              <w:rPr>
                <w:rStyle w:val="53"/>
                <w:rFonts w:hint="default"/>
                <w:b/>
                <w:bCs/>
                <w:color w:val="000000" w:themeColor="text1"/>
                <w:kern w:val="0"/>
                <w:sz w:val="22"/>
                <w:szCs w:val="22"/>
                <w:lang w:val="pt-BR" w:bidi="ar-SA"/>
                <w14:textFill>
                  <w14:solidFill>
                    <w14:schemeClr w14:val="tx1"/>
                  </w14:solidFill>
                </w14:textFill>
              </w:rPr>
              <w:t>09/08/2024</w:t>
            </w:r>
          </w:p>
        </w:tc>
        <w:tc>
          <w:tcPr>
            <w:tcW w:w="1839" w:type="dxa"/>
            <w:gridSpan w:val="2"/>
            <w:shd w:val="clear" w:color="auto" w:fill="DDDDDD"/>
            <w:vAlign w:val="center"/>
          </w:tcPr>
          <w:p w14:paraId="6B90F830">
            <w:pPr>
              <w:pStyle w:val="50"/>
              <w:widowControl/>
              <w:suppressAutoHyphens/>
              <w:spacing w:before="0" w:beforeAutospacing="0" w:after="0" w:afterAutospacing="0" w:line="240" w:lineRule="auto"/>
              <w:jc w:val="left"/>
              <w:textAlignment w:val="baseline"/>
              <w:rPr>
                <w:rStyle w:val="53"/>
                <w:rFonts w:hint="default"/>
                <w:color w:val="000000" w:themeColor="text1"/>
                <w:kern w:val="0"/>
                <w:sz w:val="22"/>
                <w:szCs w:val="22"/>
                <w:lang w:val="pt-BR" w:bidi="ar-SA"/>
                <w14:textFill>
                  <w14:solidFill>
                    <w14:schemeClr w14:val="tx1"/>
                  </w14:solidFill>
                </w14:textFill>
              </w:rPr>
            </w:pPr>
            <w:r>
              <w:rPr>
                <w:rStyle w:val="53"/>
                <w:color w:val="000000" w:themeColor="text1"/>
                <w:kern w:val="0"/>
                <w:sz w:val="22"/>
                <w:szCs w:val="22"/>
                <w:lang w:val="pt-BR" w:bidi="ar-SA"/>
                <w14:textFill>
                  <w14:solidFill>
                    <w14:schemeClr w14:val="tx1"/>
                  </w14:solidFill>
                </w14:textFill>
              </w:rPr>
              <w:t>Horário:</w:t>
            </w:r>
          </w:p>
          <w:p w14:paraId="380D1983">
            <w:pPr>
              <w:pStyle w:val="50"/>
              <w:widowControl/>
              <w:suppressAutoHyphens/>
              <w:spacing w:before="0" w:beforeAutospacing="0" w:after="0" w:afterAutospacing="0" w:line="240" w:lineRule="auto"/>
              <w:jc w:val="left"/>
              <w:textAlignment w:val="baseline"/>
              <w:rPr>
                <w:rStyle w:val="53"/>
                <w:rFonts w:hint="default"/>
                <w:b/>
                <w:bCs/>
                <w:color w:val="000000" w:themeColor="text1"/>
                <w:kern w:val="0"/>
                <w:sz w:val="22"/>
                <w:szCs w:val="22"/>
                <w:lang w:val="pt-BR" w:bidi="ar-SA"/>
                <w14:textFill>
                  <w14:solidFill>
                    <w14:schemeClr w14:val="tx1"/>
                  </w14:solidFill>
                </w14:textFill>
              </w:rPr>
            </w:pPr>
            <w:r>
              <w:rPr>
                <w:rStyle w:val="53"/>
                <w:rFonts w:hint="default"/>
                <w:b/>
                <w:bCs/>
                <w:color w:val="000000" w:themeColor="text1"/>
                <w:kern w:val="0"/>
                <w:sz w:val="22"/>
                <w:szCs w:val="22"/>
                <w:lang w:val="pt-BR" w:bidi="ar-SA"/>
                <w14:textFill>
                  <w14:solidFill>
                    <w14:schemeClr w14:val="tx1"/>
                  </w14:solidFill>
                </w14:textFill>
              </w:rPr>
              <w:t>09h00min horário de Brasília - DF</w:t>
            </w:r>
          </w:p>
        </w:tc>
        <w:tc>
          <w:tcPr>
            <w:tcW w:w="5027" w:type="dxa"/>
            <w:gridSpan w:val="4"/>
            <w:shd w:val="clear" w:color="auto" w:fill="DDDDDD"/>
            <w:vAlign w:val="center"/>
          </w:tcPr>
          <w:p w14:paraId="6822B1E7">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Plataforma:</w:t>
            </w:r>
          </w:p>
          <w:p w14:paraId="30FE22CD">
            <w:pPr>
              <w:pStyle w:val="50"/>
              <w:widowControl/>
              <w:suppressAutoHyphens/>
              <w:spacing w:before="0" w:beforeAutospacing="0" w:after="0" w:afterAutospacing="0" w:line="240" w:lineRule="auto"/>
              <w:jc w:val="left"/>
              <w:textAlignment w:val="baseline"/>
              <w:rPr>
                <w:rFonts w:ascii="Times New Roman" w:hAnsi="Times New Roman"/>
                <w:sz w:val="22"/>
                <w:szCs w:val="22"/>
              </w:rPr>
            </w:pPr>
            <w:r>
              <w:rPr>
                <w:b/>
                <w:bCs/>
                <w:color w:val="auto"/>
                <w:kern w:val="0"/>
                <w:sz w:val="22"/>
                <w:szCs w:val="22"/>
                <w:u w:val="none"/>
                <w:lang w:val="pt-BR" w:bidi="ar-SA"/>
              </w:rPr>
              <w:t>https://www.licitanet.com.br</w:t>
            </w:r>
          </w:p>
        </w:tc>
      </w:tr>
      <w:tr w14:paraId="3E090417">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rPr>
          <w:trHeight w:val="880" w:hRule="atLeast"/>
        </w:trPr>
        <w:tc>
          <w:tcPr>
            <w:tcW w:w="2259" w:type="dxa"/>
            <w:vAlign w:val="center"/>
          </w:tcPr>
          <w:p w14:paraId="411789D3">
            <w:pPr>
              <w:pStyle w:val="50"/>
              <w:widowControl/>
              <w:suppressAutoHyphens/>
              <w:spacing w:before="0" w:beforeAutospacing="0" w:after="0" w:afterAutospacing="0" w:line="240" w:lineRule="auto"/>
              <w:jc w:val="left"/>
              <w:textAlignment w:val="baseline"/>
              <w:rPr>
                <w:b/>
                <w:bCs/>
                <w:sz w:val="22"/>
                <w:szCs w:val="22"/>
              </w:rPr>
            </w:pPr>
            <w:r>
              <w:rPr>
                <w:rStyle w:val="53"/>
                <w:b w:val="0"/>
                <w:bCs w:val="0"/>
                <w:color w:val="000000" w:themeColor="text1"/>
                <w:kern w:val="0"/>
                <w:sz w:val="22"/>
                <w:szCs w:val="22"/>
                <w:lang w:val="pt-BR" w:bidi="ar-SA"/>
                <w14:textFill>
                  <w14:solidFill>
                    <w14:schemeClr w14:val="tx1"/>
                  </w14:solidFill>
                </w14:textFill>
              </w:rPr>
              <w:t>Exige Amostra?</w:t>
            </w:r>
          </w:p>
          <w:p w14:paraId="3BF0B1C5">
            <w:pPr>
              <w:pStyle w:val="50"/>
              <w:widowControl/>
              <w:suppressAutoHyphens/>
              <w:spacing w:before="0" w:beforeAutospacing="0" w:after="0" w:afterAutospacing="0" w:line="240" w:lineRule="auto"/>
              <w:jc w:val="left"/>
              <w:textAlignment w:val="baseline"/>
              <w:rPr>
                <w:b/>
                <w:bCs/>
                <w:sz w:val="22"/>
                <w:szCs w:val="22"/>
              </w:rPr>
            </w:pPr>
            <w:r>
              <w:rPr>
                <w:rStyle w:val="53"/>
                <w:b/>
                <w:bCs/>
                <w:color w:val="000000" w:themeColor="text1"/>
                <w:kern w:val="0"/>
                <w:sz w:val="22"/>
                <w:szCs w:val="22"/>
                <w:lang w:val="pt-BR" w:bidi="ar-SA"/>
                <w14:textFill>
                  <w14:solidFill>
                    <w14:schemeClr w14:val="tx1"/>
                  </w14:solidFill>
                </w14:textFill>
              </w:rPr>
              <w:t>Não</w:t>
            </w:r>
          </w:p>
        </w:tc>
        <w:tc>
          <w:tcPr>
            <w:tcW w:w="1703" w:type="dxa"/>
            <w:vAlign w:val="center"/>
          </w:tcPr>
          <w:p w14:paraId="3A26E0ED">
            <w:pPr>
              <w:pStyle w:val="50"/>
              <w:widowControl/>
              <w:suppressAutoHyphens/>
              <w:spacing w:before="0" w:beforeAutospacing="0" w:after="0" w:afterAutospacing="0" w:line="240" w:lineRule="auto"/>
              <w:jc w:val="left"/>
              <w:textAlignment w:val="baseline"/>
              <w:rPr>
                <w:rFonts w:hint="default"/>
                <w:sz w:val="22"/>
                <w:szCs w:val="22"/>
                <w:lang w:val="pt-BR"/>
              </w:rPr>
            </w:pPr>
            <w:r>
              <w:rPr>
                <w:rStyle w:val="53"/>
                <w:color w:val="000000" w:themeColor="text1"/>
                <w:kern w:val="0"/>
                <w:sz w:val="22"/>
                <w:szCs w:val="22"/>
                <w:lang w:val="pt-BR" w:bidi="ar-SA"/>
                <w14:textFill>
                  <w14:solidFill>
                    <w14:schemeClr w14:val="tx1"/>
                  </w14:solidFill>
                </w14:textFill>
              </w:rPr>
              <w:t>Participação:</w:t>
            </w:r>
            <w:r>
              <w:rPr>
                <w:rFonts w:hint="default"/>
                <w:b/>
                <w:bCs/>
                <w:sz w:val="22"/>
                <w:szCs w:val="22"/>
                <w:lang w:val="pt-BR"/>
              </w:rPr>
              <w:t xml:space="preserve"> </w:t>
            </w:r>
            <w:r>
              <w:rPr>
                <w:rFonts w:hint="default"/>
                <w:b/>
                <w:bCs/>
                <w:sz w:val="22"/>
                <w:szCs w:val="22"/>
                <w:lang w:val="pt-BR"/>
              </w:rPr>
              <w:br w:type="textWrapping"/>
            </w:r>
            <w:r>
              <w:rPr>
                <w:rFonts w:hint="default"/>
                <w:b/>
                <w:bCs/>
                <w:sz w:val="22"/>
                <w:szCs w:val="22"/>
                <w:lang w:val="pt-BR"/>
              </w:rPr>
              <w:t>Ampla</w:t>
            </w:r>
          </w:p>
        </w:tc>
        <w:tc>
          <w:tcPr>
            <w:tcW w:w="2743" w:type="dxa"/>
            <w:gridSpan w:val="2"/>
            <w:vAlign w:val="center"/>
          </w:tcPr>
          <w:p w14:paraId="77E434F7">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Reserva de Cota ME/EPP?</w:t>
            </w:r>
          </w:p>
          <w:p w14:paraId="49B71FCC">
            <w:pPr>
              <w:pStyle w:val="50"/>
              <w:widowControl/>
              <w:suppressAutoHyphens/>
              <w:spacing w:before="0" w:beforeAutospacing="0" w:after="0" w:afterAutospacing="0" w:line="240" w:lineRule="auto"/>
              <w:jc w:val="left"/>
              <w:textAlignment w:val="baseline"/>
              <w:rPr>
                <w:sz w:val="22"/>
                <w:szCs w:val="22"/>
              </w:rPr>
            </w:pPr>
            <w:r>
              <w:rPr>
                <w:rStyle w:val="53"/>
                <w:b/>
                <w:bCs/>
                <w:color w:val="000000" w:themeColor="text1"/>
                <w:kern w:val="0"/>
                <w:sz w:val="22"/>
                <w:szCs w:val="22"/>
                <w:lang w:val="pt-BR" w:bidi="ar-SA"/>
                <w14:textFill>
                  <w14:solidFill>
                    <w14:schemeClr w14:val="tx1"/>
                  </w14:solidFill>
                </w14:textFill>
              </w:rPr>
              <w:t>Não</w:t>
            </w:r>
          </w:p>
        </w:tc>
        <w:tc>
          <w:tcPr>
            <w:tcW w:w="2367" w:type="dxa"/>
            <w:gridSpan w:val="2"/>
            <w:vAlign w:val="center"/>
          </w:tcPr>
          <w:p w14:paraId="77807368">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Decreto Federal nº 7.174/2010?</w:t>
            </w:r>
          </w:p>
          <w:p w14:paraId="1D94929C">
            <w:pPr>
              <w:pStyle w:val="50"/>
              <w:widowControl/>
              <w:suppressAutoHyphens/>
              <w:spacing w:before="0" w:beforeAutospacing="0" w:after="0" w:afterAutospacing="0" w:line="240" w:lineRule="auto"/>
              <w:jc w:val="left"/>
              <w:textAlignment w:val="baseline"/>
              <w:rPr>
                <w:sz w:val="22"/>
                <w:szCs w:val="22"/>
              </w:rPr>
            </w:pPr>
            <w:r>
              <w:rPr>
                <w:rStyle w:val="53"/>
                <w:b/>
                <w:bCs/>
                <w:color w:val="000000" w:themeColor="text1"/>
                <w:kern w:val="0"/>
                <w:sz w:val="22"/>
                <w:szCs w:val="22"/>
                <w:lang w:val="pt-BR" w:bidi="ar-SA"/>
                <w14:textFill>
                  <w14:solidFill>
                    <w14:schemeClr w14:val="tx1"/>
                  </w14:solidFill>
                </w14:textFill>
              </w:rPr>
              <w:t>Não</w:t>
            </w:r>
          </w:p>
        </w:tc>
        <w:tc>
          <w:tcPr>
            <w:tcW w:w="53" w:type="dxa"/>
            <w:tcBorders>
              <w:top w:val="nil"/>
              <w:bottom w:val="nil"/>
            </w:tcBorders>
            <w:vAlign w:val="center"/>
          </w:tcPr>
          <w:p w14:paraId="5ABB2AC9">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1F092C23">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vAlign w:val="center"/>
          </w:tcPr>
          <w:p w14:paraId="052E9C62">
            <w:pPr>
              <w:pStyle w:val="50"/>
              <w:widowControl/>
              <w:suppressAutoHyphens/>
              <w:spacing w:before="0" w:beforeAutospacing="0" w:after="0" w:afterAutospacing="0" w:line="240" w:lineRule="auto"/>
              <w:jc w:val="left"/>
              <w:textAlignment w:val="baseline"/>
              <w:rPr>
                <w:b/>
                <w:bCs/>
                <w:sz w:val="22"/>
                <w:szCs w:val="22"/>
              </w:rPr>
            </w:pPr>
            <w:r>
              <w:rPr>
                <w:rStyle w:val="53"/>
                <w:b w:val="0"/>
                <w:bCs w:val="0"/>
                <w:color w:val="000000" w:themeColor="text1"/>
                <w:kern w:val="0"/>
                <w:sz w:val="22"/>
                <w:szCs w:val="22"/>
                <w:lang w:val="pt-BR" w:bidi="ar-SA"/>
                <w14:textFill>
                  <w14:solidFill>
                    <w14:schemeClr w14:val="tx1"/>
                  </w14:solidFill>
                </w14:textFill>
              </w:rPr>
              <w:t>Registro de Preços?</w:t>
            </w:r>
          </w:p>
          <w:p w14:paraId="55B320DB">
            <w:pPr>
              <w:pStyle w:val="50"/>
              <w:widowControl/>
              <w:suppressAutoHyphens/>
              <w:spacing w:before="0" w:beforeAutospacing="0" w:after="0" w:afterAutospacing="0" w:line="240" w:lineRule="auto"/>
              <w:jc w:val="left"/>
              <w:textAlignment w:val="baseline"/>
              <w:rPr>
                <w:b/>
                <w:bCs/>
                <w:sz w:val="22"/>
                <w:szCs w:val="22"/>
              </w:rPr>
            </w:pPr>
            <w:r>
              <w:rPr>
                <w:rStyle w:val="53"/>
                <w:b/>
                <w:bCs/>
                <w:color w:val="000000" w:themeColor="text1"/>
                <w:kern w:val="0"/>
                <w:sz w:val="22"/>
                <w:szCs w:val="22"/>
                <w:lang w:val="pt-BR" w:bidi="ar-SA"/>
                <w14:textFill>
                  <w14:solidFill>
                    <w14:schemeClr w14:val="tx1"/>
                  </w14:solidFill>
                </w14:textFill>
              </w:rPr>
              <w:t>Sim</w:t>
            </w:r>
          </w:p>
        </w:tc>
        <w:tc>
          <w:tcPr>
            <w:tcW w:w="1703" w:type="dxa"/>
            <w:shd w:val="clear" w:color="auto" w:fill="DDDDDD"/>
            <w:vAlign w:val="center"/>
          </w:tcPr>
          <w:p w14:paraId="275E346B">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Vistoria?</w:t>
            </w:r>
          </w:p>
          <w:p w14:paraId="1C58CE9F">
            <w:pPr>
              <w:pStyle w:val="50"/>
              <w:widowControl/>
              <w:suppressAutoHyphens/>
              <w:spacing w:before="0" w:beforeAutospacing="0" w:after="0" w:afterAutospacing="0" w:line="240" w:lineRule="auto"/>
              <w:jc w:val="left"/>
              <w:textAlignment w:val="baseline"/>
              <w:rPr>
                <w:rFonts w:hint="default"/>
                <w:sz w:val="22"/>
                <w:szCs w:val="22"/>
                <w:lang w:val="pt-BR"/>
              </w:rPr>
            </w:pPr>
            <w:r>
              <w:rPr>
                <w:rStyle w:val="53"/>
                <w:rFonts w:hint="default"/>
                <w:b/>
                <w:bCs/>
                <w:color w:val="000000" w:themeColor="text1"/>
                <w:kern w:val="0"/>
                <w:sz w:val="22"/>
                <w:szCs w:val="22"/>
                <w:lang w:val="pt-BR" w:bidi="ar-SA"/>
                <w14:textFill>
                  <w14:solidFill>
                    <w14:schemeClr w14:val="tx1"/>
                  </w14:solidFill>
                </w14:textFill>
              </w:rPr>
              <w:t>Sim</w:t>
            </w:r>
          </w:p>
        </w:tc>
        <w:tc>
          <w:tcPr>
            <w:tcW w:w="2743" w:type="dxa"/>
            <w:gridSpan w:val="2"/>
            <w:shd w:val="clear" w:color="auto" w:fill="DDDDDD"/>
            <w:vAlign w:val="center"/>
          </w:tcPr>
          <w:p w14:paraId="073D4087">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Amostra?</w:t>
            </w:r>
          </w:p>
          <w:p w14:paraId="5163E200">
            <w:pPr>
              <w:pStyle w:val="50"/>
              <w:widowControl/>
              <w:suppressAutoHyphens/>
              <w:spacing w:before="0" w:beforeAutospacing="0" w:after="0" w:afterAutospacing="0" w:line="240" w:lineRule="auto"/>
              <w:jc w:val="left"/>
              <w:textAlignment w:val="baseline"/>
              <w:rPr>
                <w:sz w:val="22"/>
                <w:szCs w:val="22"/>
              </w:rPr>
            </w:pPr>
            <w:r>
              <w:rPr>
                <w:rStyle w:val="53"/>
                <w:b/>
                <w:bCs/>
                <w:color w:val="000000" w:themeColor="text1"/>
                <w:kern w:val="0"/>
                <w:sz w:val="22"/>
                <w:szCs w:val="22"/>
                <w:lang w:val="pt-BR" w:bidi="ar-SA"/>
                <w14:textFill>
                  <w14:solidFill>
                    <w14:schemeClr w14:val="tx1"/>
                  </w14:solidFill>
                </w14:textFill>
              </w:rPr>
              <w:t>Não</w:t>
            </w:r>
          </w:p>
        </w:tc>
        <w:tc>
          <w:tcPr>
            <w:tcW w:w="2367" w:type="dxa"/>
            <w:gridSpan w:val="2"/>
            <w:shd w:val="clear" w:color="auto" w:fill="DDDDDD"/>
            <w:vAlign w:val="center"/>
          </w:tcPr>
          <w:p w14:paraId="4DBA40D8">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Instrumento Contratual?</w:t>
            </w:r>
          </w:p>
          <w:p w14:paraId="49DC53B7">
            <w:pPr>
              <w:pStyle w:val="50"/>
              <w:widowControl/>
              <w:suppressAutoHyphens/>
              <w:spacing w:before="0" w:beforeAutospacing="0" w:after="0" w:afterAutospacing="0" w:line="240" w:lineRule="auto"/>
              <w:jc w:val="left"/>
              <w:textAlignment w:val="baseline"/>
              <w:rPr>
                <w:sz w:val="22"/>
                <w:szCs w:val="22"/>
              </w:rPr>
            </w:pPr>
            <w:r>
              <w:rPr>
                <w:rStyle w:val="53"/>
                <w:b/>
                <w:bCs/>
                <w:color w:val="000000" w:themeColor="text1"/>
                <w:kern w:val="0"/>
                <w:sz w:val="22"/>
                <w:szCs w:val="22"/>
                <w:lang w:val="pt-BR" w:bidi="ar-SA"/>
                <w14:textFill>
                  <w14:solidFill>
                    <w14:schemeClr w14:val="tx1"/>
                  </w14:solidFill>
                </w14:textFill>
              </w:rPr>
              <w:t>Sim</w:t>
            </w:r>
          </w:p>
        </w:tc>
        <w:tc>
          <w:tcPr>
            <w:tcW w:w="53" w:type="dxa"/>
            <w:tcBorders>
              <w:top w:val="nil"/>
              <w:bottom w:val="nil"/>
            </w:tcBorders>
            <w:shd w:val="clear" w:color="auto" w:fill="CCCCCC" w:themeFill="text1" w:themeFillTint="33"/>
            <w:vAlign w:val="center"/>
          </w:tcPr>
          <w:p w14:paraId="52C28714">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424748B3">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vAlign w:val="center"/>
          </w:tcPr>
          <w:p w14:paraId="5DD72C5F">
            <w:pPr>
              <w:pStyle w:val="32"/>
              <w:keepNext w:val="0"/>
              <w:keepLines w:val="0"/>
              <w:widowControl/>
              <w:suppressLineNumbers w:val="0"/>
              <w:spacing w:after="0" w:afterAutospacing="0" w:line="240" w:lineRule="auto"/>
              <w:jc w:val="both"/>
              <w:rPr>
                <w:rFonts w:hint="default" w:ascii="Times New Roman" w:hAnsi="Times New Roman"/>
                <w:b/>
                <w:bCs/>
                <w:sz w:val="22"/>
                <w:szCs w:val="22"/>
                <w:lang w:val="pt-BR"/>
              </w:rPr>
            </w:pPr>
            <w:r>
              <w:rPr>
                <w:rStyle w:val="53"/>
                <w:b w:val="0"/>
                <w:bCs w:val="0"/>
                <w:color w:val="000000" w:themeColor="text1"/>
                <w:kern w:val="0"/>
                <w:sz w:val="22"/>
                <w:szCs w:val="22"/>
                <w:lang w:val="pt-BR" w:bidi="ar-SA"/>
                <w14:textFill>
                  <w14:solidFill>
                    <w14:schemeClr w14:val="tx1"/>
                  </w14:solidFill>
                </w14:textFill>
              </w:rPr>
              <w:t>Objeto:</w:t>
            </w:r>
            <w:r>
              <w:rPr>
                <w:rStyle w:val="53"/>
                <w:rFonts w:hint="default"/>
                <w:b w:val="0"/>
                <w:bCs w:val="0"/>
                <w:color w:val="000000" w:themeColor="text1"/>
                <w:kern w:val="0"/>
                <w:sz w:val="22"/>
                <w:szCs w:val="22"/>
                <w:lang w:val="pt-BR" w:bidi="ar-SA"/>
                <w14:textFill>
                  <w14:solidFill>
                    <w14:schemeClr w14:val="tx1"/>
                  </w14:solidFill>
                </w14:textFill>
              </w:rPr>
              <w:t xml:space="preserve"> </w:t>
            </w:r>
            <w:r>
              <w:rPr>
                <w:rStyle w:val="53"/>
                <w:rFonts w:hint="default"/>
                <w:b/>
                <w:bCs/>
                <w:color w:val="000000" w:themeColor="text1"/>
                <w:kern w:val="0"/>
                <w:sz w:val="22"/>
                <w:szCs w:val="22"/>
                <w:lang w:val="pt-BR"/>
                <w14:textFill>
                  <w14:solidFill>
                    <w14:schemeClr w14:val="tx1"/>
                  </w14:solidFill>
                </w14:textFill>
              </w:rPr>
              <w:t>Registro de preços para futura e eventual contratação de empresa especializada no fornecimento e instalação de telhas, calhas, rufos e cumeeiras, incluindo mão de obra, para a Câmara Municipal de Primavera do Leste -  MT.</w:t>
            </w:r>
          </w:p>
        </w:tc>
        <w:tc>
          <w:tcPr>
            <w:tcW w:w="53" w:type="dxa"/>
            <w:tcBorders>
              <w:top w:val="nil"/>
              <w:bottom w:val="nil"/>
            </w:tcBorders>
            <w:vAlign w:val="center"/>
          </w:tcPr>
          <w:p w14:paraId="48E0C2B0">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24CA8576">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shd w:val="clear" w:color="auto" w:fill="DDDDDD"/>
            <w:vAlign w:val="center"/>
          </w:tcPr>
          <w:p w14:paraId="065B3D1F">
            <w:pPr>
              <w:pStyle w:val="50"/>
              <w:widowControl/>
              <w:suppressAutoHyphens/>
              <w:spacing w:before="0" w:beforeAutospacing="0" w:after="0" w:afterAutospacing="0" w:line="240" w:lineRule="auto"/>
              <w:jc w:val="both"/>
              <w:textAlignment w:val="baseline"/>
              <w:rPr>
                <w:rFonts w:hint="default"/>
                <w:b/>
                <w:bCs/>
                <w:sz w:val="22"/>
                <w:szCs w:val="22"/>
                <w:lang w:val="pt-BR"/>
              </w:rPr>
            </w:pPr>
            <w:r>
              <w:rPr>
                <w:rStyle w:val="53"/>
                <w:b w:val="0"/>
                <w:bCs w:val="0"/>
                <w:color w:val="000000" w:themeColor="text1"/>
                <w:kern w:val="0"/>
                <w:sz w:val="22"/>
                <w:szCs w:val="22"/>
                <w:lang w:val="pt-BR" w:bidi="ar-SA"/>
                <w14:textFill>
                  <w14:solidFill>
                    <w14:schemeClr w14:val="tx1"/>
                  </w14:solidFill>
                </w14:textFill>
              </w:rPr>
              <w:t>Valor Estimado:</w:t>
            </w:r>
            <w:r>
              <w:rPr>
                <w:rStyle w:val="53"/>
                <w:rFonts w:hint="default"/>
                <w:b w:val="0"/>
                <w:bCs w:val="0"/>
                <w:color w:val="000000" w:themeColor="text1"/>
                <w:kern w:val="0"/>
                <w:sz w:val="22"/>
                <w:szCs w:val="22"/>
                <w:lang w:val="pt-BR" w:bidi="ar-SA"/>
                <w14:textFill>
                  <w14:solidFill>
                    <w14:schemeClr w14:val="tx1"/>
                  </w14:solidFill>
                </w14:textFill>
              </w:rPr>
              <w:t xml:space="preserve"> </w:t>
            </w:r>
          </w:p>
          <w:p w14:paraId="29A97641">
            <w:pPr>
              <w:tabs>
                <w:tab w:val="left" w:pos="284"/>
              </w:tabs>
              <w:spacing w:line="240" w:lineRule="auto"/>
              <w:jc w:val="both"/>
              <w:rPr>
                <w:rFonts w:hint="default"/>
                <w:b/>
                <w:bCs/>
                <w:sz w:val="22"/>
                <w:szCs w:val="22"/>
                <w:lang w:val="pt-BR"/>
              </w:rPr>
            </w:pPr>
            <w:r>
              <w:rPr>
                <w:rStyle w:val="49"/>
                <w:rFonts w:eastAsia="Times New Roman"/>
                <w:b/>
                <w:bCs/>
                <w:sz w:val="22"/>
                <w:szCs w:val="22"/>
                <w:lang w:eastAsia="en-US"/>
              </w:rPr>
              <w:t xml:space="preserve"> </w:t>
            </w:r>
            <w:r>
              <w:rPr>
                <w:rStyle w:val="49"/>
                <w:rFonts w:eastAsia="Times New Roman"/>
                <w:b/>
                <w:bCs/>
                <w:sz w:val="24"/>
                <w:szCs w:val="24"/>
                <w:shd w:val="clear" w:color="auto" w:fill="auto"/>
                <w:lang w:eastAsia="en-US"/>
              </w:rPr>
              <w:t>R$ 634.363,93 (seiscentos e trinta e quatro mil e trezentos e sessenta e três reais e noventa e três centavos).</w:t>
            </w:r>
          </w:p>
        </w:tc>
        <w:tc>
          <w:tcPr>
            <w:tcW w:w="53" w:type="dxa"/>
            <w:tcBorders>
              <w:top w:val="nil"/>
              <w:bottom w:val="nil"/>
            </w:tcBorders>
            <w:shd w:val="clear" w:color="auto" w:fill="CCCCCC" w:themeFill="text1" w:themeFillTint="33"/>
            <w:vAlign w:val="center"/>
          </w:tcPr>
          <w:p w14:paraId="3401198C">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328333AD">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vAlign w:val="center"/>
          </w:tcPr>
          <w:p w14:paraId="78BB0CDF">
            <w:pPr>
              <w:pStyle w:val="50"/>
              <w:widowControl/>
              <w:suppressAutoHyphens/>
              <w:spacing w:before="0" w:beforeAutospacing="0" w:after="0" w:afterAutospacing="0" w:line="240" w:lineRule="auto"/>
              <w:jc w:val="left"/>
              <w:textAlignment w:val="baseline"/>
              <w:rPr>
                <w:b/>
                <w:bCs/>
                <w:sz w:val="22"/>
                <w:szCs w:val="22"/>
              </w:rPr>
            </w:pPr>
            <w:r>
              <w:rPr>
                <w:rStyle w:val="53"/>
                <w:b w:val="0"/>
                <w:bCs w:val="0"/>
                <w:color w:val="000000" w:themeColor="text1"/>
                <w:kern w:val="0"/>
                <w:sz w:val="22"/>
                <w:szCs w:val="22"/>
                <w:shd w:val="clear" w:fill="auto"/>
                <w:lang w:val="pt-BR" w:bidi="ar-SA"/>
                <w14:textFill>
                  <w14:solidFill>
                    <w14:schemeClr w14:val="tx1"/>
                  </w14:solidFill>
                </w14:textFill>
              </w:rPr>
              <w:t>Pregoeiro:</w:t>
            </w:r>
          </w:p>
          <w:p w14:paraId="0CBC70BE">
            <w:pPr>
              <w:pStyle w:val="50"/>
              <w:widowControl/>
              <w:suppressAutoHyphens/>
              <w:spacing w:before="0" w:beforeAutospacing="0" w:after="0" w:afterAutospacing="0" w:line="240" w:lineRule="auto"/>
              <w:ind w:left="0" w:leftChars="0" w:firstLine="0" w:firstLineChars="0"/>
              <w:jc w:val="left"/>
              <w:textAlignment w:val="baseline"/>
              <w:rPr>
                <w:b/>
                <w:bCs/>
                <w:sz w:val="22"/>
                <w:szCs w:val="22"/>
              </w:rPr>
            </w:pPr>
            <w:r>
              <w:rPr>
                <w:rStyle w:val="53"/>
                <w:b/>
                <w:bCs/>
                <w:color w:val="000000" w:themeColor="text1"/>
                <w:kern w:val="0"/>
                <w:sz w:val="22"/>
                <w:szCs w:val="22"/>
                <w:shd w:val="clear" w:fill="auto"/>
                <w:lang w:val="pt-BR" w:bidi="ar-SA"/>
                <w14:textFill>
                  <w14:solidFill>
                    <w14:schemeClr w14:val="tx1"/>
                  </w14:solidFill>
                </w14:textFill>
              </w:rPr>
              <w:t>Wender de Souza Barros</w:t>
            </w:r>
          </w:p>
        </w:tc>
        <w:tc>
          <w:tcPr>
            <w:tcW w:w="5110" w:type="dxa"/>
            <w:gridSpan w:val="4"/>
            <w:vAlign w:val="center"/>
          </w:tcPr>
          <w:p w14:paraId="64A9E4E9">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shd w:val="clear" w:fill="auto"/>
                <w:lang w:val="pt-BR" w:bidi="ar-SA"/>
                <w14:textFill>
                  <w14:solidFill>
                    <w14:schemeClr w14:val="tx1"/>
                  </w14:solidFill>
                </w14:textFill>
              </w:rPr>
              <w:t>Ato de Designação:</w:t>
            </w:r>
          </w:p>
          <w:p w14:paraId="02EE39EC">
            <w:pPr>
              <w:pStyle w:val="50"/>
              <w:widowControl/>
              <w:suppressAutoHyphens/>
              <w:spacing w:before="0" w:beforeAutospacing="0" w:after="0" w:afterAutospacing="0" w:line="240" w:lineRule="auto"/>
              <w:jc w:val="left"/>
              <w:textAlignment w:val="baseline"/>
              <w:rPr>
                <w:rFonts w:hint="default"/>
                <w:sz w:val="22"/>
                <w:szCs w:val="22"/>
                <w:lang w:val="pt-BR"/>
              </w:rPr>
            </w:pPr>
            <w:r>
              <w:rPr>
                <w:rStyle w:val="53"/>
                <w:rFonts w:cs="Times New Roman"/>
                <w:b/>
                <w:bCs/>
                <w:color w:val="000000" w:themeColor="text1"/>
                <w:sz w:val="22"/>
                <w:szCs w:val="22"/>
                <w:shd w:val="clear" w:fill="auto"/>
                <w:lang w:val="pt-BR"/>
                <w14:textFill>
                  <w14:solidFill>
                    <w14:schemeClr w14:val="tx1"/>
                  </w14:solidFill>
                </w14:textFill>
              </w:rPr>
              <w:t>Portaria nº 085/2024</w:t>
            </w:r>
          </w:p>
        </w:tc>
        <w:tc>
          <w:tcPr>
            <w:tcW w:w="53" w:type="dxa"/>
            <w:tcBorders>
              <w:top w:val="nil"/>
              <w:bottom w:val="nil"/>
            </w:tcBorders>
            <w:vAlign w:val="center"/>
          </w:tcPr>
          <w:p w14:paraId="713F26B0">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4412C98F">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shd w:val="clear" w:color="auto" w:fill="D7D7D7" w:themeFill="background1" w:themeFillShade="D8"/>
            <w:vAlign w:val="center"/>
          </w:tcPr>
          <w:p w14:paraId="7553198C">
            <w:pPr>
              <w:pStyle w:val="50"/>
              <w:widowControl/>
              <w:suppressAutoHyphens/>
              <w:spacing w:before="0" w:beforeAutospacing="0" w:after="0" w:afterAutospacing="0" w:line="240" w:lineRule="auto"/>
              <w:jc w:val="left"/>
              <w:textAlignment w:val="baseline"/>
              <w:rPr>
                <w:b/>
                <w:bCs/>
                <w:sz w:val="22"/>
                <w:szCs w:val="22"/>
              </w:rPr>
            </w:pPr>
            <w:r>
              <w:rPr>
                <w:rStyle w:val="53"/>
                <w:b w:val="0"/>
                <w:bCs w:val="0"/>
                <w:color w:val="000000" w:themeColor="text1"/>
                <w:kern w:val="0"/>
                <w:sz w:val="22"/>
                <w:szCs w:val="22"/>
                <w:lang w:val="pt-BR" w:bidi="ar-SA"/>
                <w14:textFill>
                  <w14:solidFill>
                    <w14:schemeClr w14:val="tx1"/>
                  </w14:solidFill>
                </w14:textFill>
              </w:rPr>
              <w:t>Lei de Regência:</w:t>
            </w:r>
          </w:p>
          <w:p w14:paraId="38EA71E4">
            <w:pPr>
              <w:pStyle w:val="50"/>
              <w:widowControl/>
              <w:suppressAutoHyphens/>
              <w:spacing w:before="0" w:beforeAutospacing="0" w:after="0" w:afterAutospacing="0" w:line="240" w:lineRule="auto"/>
              <w:ind w:left="0" w:leftChars="0" w:firstLine="0" w:firstLineChars="0"/>
              <w:jc w:val="left"/>
              <w:textAlignment w:val="baseline"/>
              <w:rPr>
                <w:b/>
                <w:bCs/>
                <w:sz w:val="22"/>
                <w:szCs w:val="22"/>
              </w:rPr>
            </w:pPr>
            <w:r>
              <w:rPr>
                <w:rStyle w:val="53"/>
                <w:b/>
                <w:bCs/>
                <w:color w:val="000000" w:themeColor="text1"/>
                <w:kern w:val="0"/>
                <w:sz w:val="22"/>
                <w:szCs w:val="22"/>
                <w:lang w:val="pt-BR" w:bidi="ar-SA"/>
                <w14:textFill>
                  <w14:solidFill>
                    <w14:schemeClr w14:val="tx1"/>
                  </w14:solidFill>
                </w14:textFill>
              </w:rPr>
              <w:t>Lei Federal nº 14.133, de 2021</w:t>
            </w:r>
          </w:p>
        </w:tc>
        <w:tc>
          <w:tcPr>
            <w:tcW w:w="5110" w:type="dxa"/>
            <w:gridSpan w:val="4"/>
            <w:shd w:val="clear" w:color="auto" w:fill="D7D7D7" w:themeFill="background1" w:themeFillShade="D8"/>
            <w:vAlign w:val="center"/>
          </w:tcPr>
          <w:p w14:paraId="771436C1">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Lei Complementar:</w:t>
            </w:r>
          </w:p>
          <w:p w14:paraId="54FEBCBD">
            <w:pPr>
              <w:pStyle w:val="50"/>
              <w:widowControl/>
              <w:suppressAutoHyphens/>
              <w:spacing w:before="0" w:beforeAutospacing="0" w:after="0" w:afterAutospacing="0" w:line="240" w:lineRule="auto"/>
              <w:ind w:left="0" w:leftChars="0" w:firstLine="0" w:firstLineChars="0"/>
              <w:jc w:val="left"/>
              <w:textAlignment w:val="baseline"/>
              <w:rPr>
                <w:sz w:val="22"/>
                <w:szCs w:val="22"/>
              </w:rPr>
            </w:pPr>
            <w:r>
              <w:rPr>
                <w:rStyle w:val="53"/>
                <w:b/>
                <w:bCs/>
                <w:color w:val="000000" w:themeColor="text1"/>
                <w:kern w:val="0"/>
                <w:sz w:val="22"/>
                <w:szCs w:val="22"/>
                <w:lang w:val="pt-BR" w:bidi="ar-SA"/>
                <w14:textFill>
                  <w14:solidFill>
                    <w14:schemeClr w14:val="tx1"/>
                  </w14:solidFill>
                </w14:textFill>
              </w:rPr>
              <w:t>Lei Complementar Federal nº 123, de 2006</w:t>
            </w:r>
          </w:p>
        </w:tc>
        <w:tc>
          <w:tcPr>
            <w:tcW w:w="53" w:type="dxa"/>
            <w:tcBorders>
              <w:top w:val="nil"/>
              <w:bottom w:val="nil"/>
            </w:tcBorders>
            <w:shd w:val="clear" w:color="auto" w:fill="CCCCCC" w:themeFill="text1" w:themeFillTint="33"/>
            <w:vAlign w:val="center"/>
          </w:tcPr>
          <w:p w14:paraId="5E28192A">
            <w:pPr>
              <w:widowControl/>
              <w:suppressAutoHyphens/>
              <w:spacing w:before="0" w:after="0" w:line="240" w:lineRule="auto"/>
              <w:jc w:val="left"/>
              <w:rPr>
                <w:rFonts w:ascii="Times New Roman" w:hAnsi="Times New Roman" w:eastAsia="Calibri"/>
                <w:kern w:val="0"/>
                <w:sz w:val="22"/>
                <w:szCs w:val="22"/>
                <w:lang w:val="pt-BR" w:eastAsia="en-US" w:bidi="ar-SA"/>
              </w:rPr>
            </w:pPr>
          </w:p>
        </w:tc>
      </w:tr>
    </w:tbl>
    <w:p w14:paraId="3C47F48E">
      <w:pPr>
        <w:pStyle w:val="50"/>
        <w:spacing w:before="360" w:beforeAutospacing="0" w:after="120" w:afterAutospacing="0"/>
        <w:ind w:firstLine="0"/>
        <w:jc w:val="both"/>
        <w:textAlignment w:val="baseline"/>
        <w:rPr>
          <w:rStyle w:val="53"/>
          <w:color w:val="000000" w:themeColor="text1"/>
          <w:sz w:val="23"/>
          <w:szCs w:val="23"/>
          <w14:textFill>
            <w14:solidFill>
              <w14:schemeClr w14:val="tx1"/>
            </w14:solidFill>
          </w14:textFill>
        </w:rPr>
      </w:pPr>
      <w:r>
        <w:rPr>
          <w:rStyle w:val="53"/>
          <w:color w:val="000000" w:themeColor="text1"/>
          <w:sz w:val="23"/>
          <w:szCs w:val="23"/>
          <w14:textFill>
            <w14:solidFill>
              <w14:schemeClr w14:val="tx1"/>
            </w14:solidFill>
          </w14:textFill>
        </w:rPr>
        <w:tab/>
      </w:r>
      <w:r>
        <w:rPr>
          <w:rStyle w:val="53"/>
          <w:color w:val="000000" w:themeColor="text1"/>
          <w:sz w:val="23"/>
          <w:szCs w:val="23"/>
          <w14:textFill>
            <w14:solidFill>
              <w14:schemeClr w14:val="tx1"/>
            </w14:solidFill>
          </w14:textFill>
        </w:rPr>
        <w:t xml:space="preserve">O Município de Primavera do Leste - MT, por intermédio da Câmara Municipal de Primavera do Leste - MT, torna público que realizará licitação na modalidade Pregão, na forma eletrônica, em modo de disputa aberto, </w:t>
      </w:r>
      <w:r>
        <w:rPr>
          <w:rStyle w:val="53"/>
          <w:color w:val="auto"/>
          <w:sz w:val="23"/>
          <w:szCs w:val="23"/>
        </w:rPr>
        <w:t>com participação</w:t>
      </w:r>
      <w:r>
        <w:rPr>
          <w:rStyle w:val="53"/>
          <w:rFonts w:hint="default"/>
          <w:color w:val="auto"/>
          <w:sz w:val="23"/>
          <w:szCs w:val="23"/>
          <w:lang w:val="pt-BR"/>
        </w:rPr>
        <w:t xml:space="preserve"> Ampla</w:t>
      </w:r>
      <w:bookmarkStart w:id="84" w:name="_GoBack"/>
      <w:bookmarkEnd w:id="84"/>
      <w:r>
        <w:rPr>
          <w:rStyle w:val="53"/>
          <w:rFonts w:hint="default"/>
          <w:color w:val="auto"/>
          <w:sz w:val="23"/>
          <w:szCs w:val="24"/>
          <w:lang w:val="pt-BR"/>
        </w:rPr>
        <w:t xml:space="preserve">, </w:t>
      </w:r>
      <w:r>
        <w:rPr>
          <w:rStyle w:val="53"/>
          <w:color w:val="000000" w:themeColor="text1"/>
          <w:sz w:val="23"/>
          <w:szCs w:val="23"/>
          <w14:textFill>
            <w14:solidFill>
              <w14:schemeClr w14:val="tx1"/>
            </w14:solidFill>
          </w14:textFill>
        </w:rPr>
        <w:t>para</w:t>
      </w:r>
      <w:r>
        <w:rPr>
          <w:rStyle w:val="53"/>
          <w:rFonts w:hint="default"/>
          <w:color w:val="000000" w:themeColor="text1"/>
          <w:sz w:val="23"/>
          <w:szCs w:val="23"/>
          <w:lang w:val="pt-BR"/>
          <w14:textFill>
            <w14:solidFill>
              <w14:schemeClr w14:val="tx1"/>
            </w14:solidFill>
          </w14:textFill>
        </w:rPr>
        <w:t xml:space="preserve"> </w:t>
      </w:r>
      <w:r>
        <w:rPr>
          <w:rStyle w:val="53"/>
          <w:rFonts w:hint="default"/>
          <w:b/>
          <w:bCs/>
          <w:color w:val="000000" w:themeColor="text1"/>
          <w:kern w:val="0"/>
          <w:sz w:val="22"/>
          <w:szCs w:val="22"/>
          <w:lang w:val="pt-BR"/>
          <w14:textFill>
            <w14:solidFill>
              <w14:schemeClr w14:val="tx1"/>
            </w14:solidFill>
          </w14:textFill>
        </w:rPr>
        <w:t>Registro de preços para futura e eventual contratação de empresa especializada no fornecimento e instalação de telhas, calhas, rufos e cumeeiras, incluindo mão de obra, para a Câmara Municipal de Primavera do Leste -  MT,</w:t>
      </w:r>
      <w:r>
        <w:rPr>
          <w:b/>
          <w:bCs/>
          <w:color w:val="000000"/>
          <w:kern w:val="0"/>
          <w:sz w:val="23"/>
          <w:szCs w:val="23"/>
          <w:lang w:val="pt-BR" w:bidi="ar-SA"/>
        </w:rPr>
        <w:t xml:space="preserve"> </w:t>
      </w:r>
      <w:r>
        <w:rPr>
          <w:color w:val="000000"/>
          <w:sz w:val="23"/>
          <w:szCs w:val="23"/>
        </w:rPr>
        <w:t xml:space="preserve"> </w:t>
      </w:r>
      <w:r>
        <w:rPr>
          <w:rStyle w:val="53"/>
          <w:color w:val="000000" w:themeColor="text1"/>
          <w:sz w:val="23"/>
          <w:szCs w:val="23"/>
          <w14:textFill>
            <w14:solidFill>
              <w14:schemeClr w14:val="tx1"/>
            </w14:solidFill>
          </w14:textFill>
        </w:rPr>
        <w:t xml:space="preserve">conforme especificações, condições, quantidades e prazos constantes do </w:t>
      </w:r>
      <w:r>
        <w:rPr>
          <w:sz w:val="23"/>
          <w:szCs w:val="23"/>
        </w:rPr>
        <w:fldChar w:fldCharType="begin"/>
      </w:r>
      <w:r>
        <w:rPr>
          <w:sz w:val="23"/>
          <w:szCs w:val="23"/>
        </w:rPr>
        <w:instrText xml:space="preserve"> HYPERLINK \l "_ANEXO_I_-_1" \h </w:instrText>
      </w:r>
      <w:r>
        <w:rPr>
          <w:sz w:val="23"/>
          <w:szCs w:val="23"/>
        </w:rPr>
        <w:fldChar w:fldCharType="separate"/>
      </w:r>
      <w:r>
        <w:rPr>
          <w:rStyle w:val="62"/>
          <w:sz w:val="23"/>
          <w:szCs w:val="23"/>
        </w:rPr>
        <w:t>Termo de Referência - Anexo I deste Edital</w:t>
      </w:r>
      <w:r>
        <w:rPr>
          <w:rStyle w:val="62"/>
          <w:sz w:val="23"/>
          <w:szCs w:val="23"/>
        </w:rPr>
        <w:fldChar w:fldCharType="end"/>
      </w:r>
      <w:r>
        <w:rPr>
          <w:rStyle w:val="53"/>
          <w:color w:val="000000" w:themeColor="text1"/>
          <w:sz w:val="23"/>
          <w:szCs w:val="23"/>
          <w14:textFill>
            <w14:solidFill>
              <w14:schemeClr w14:val="tx1"/>
            </w14:solidFill>
          </w14:textFill>
        </w:rPr>
        <w:t xml:space="preserve">. </w:t>
      </w:r>
    </w:p>
    <w:p w14:paraId="3719CB18">
      <w:pPr>
        <w:pStyle w:val="50"/>
        <w:spacing w:before="120" w:beforeAutospacing="0" w:after="120" w:afterAutospacing="0"/>
        <w:ind w:firstLine="567"/>
        <w:jc w:val="both"/>
        <w:textAlignment w:val="baseline"/>
        <w:rPr>
          <w:sz w:val="23"/>
          <w:szCs w:val="23"/>
        </w:rPr>
        <w:sectPr>
          <w:headerReference r:id="rId5" w:type="default"/>
          <w:footerReference r:id="rId6" w:type="default"/>
          <w:pgSz w:w="11906" w:h="16838"/>
          <w:pgMar w:top="2658" w:right="1274" w:bottom="1134" w:left="1701" w:header="709" w:footer="709" w:gutter="0"/>
          <w:pgBorders>
            <w:top w:val="none" w:sz="0" w:space="0"/>
            <w:left w:val="none" w:sz="0" w:space="0"/>
            <w:bottom w:val="none" w:sz="0" w:space="0"/>
            <w:right w:val="none" w:sz="0" w:space="0"/>
          </w:pgBorders>
          <w:pgNumType w:fmt="decimal"/>
          <w:cols w:space="720" w:num="1"/>
          <w:formProt w:val="0"/>
          <w:docGrid w:linePitch="360" w:charSpace="4096"/>
        </w:sectPr>
      </w:pPr>
      <w:r>
        <w:rPr>
          <w:rStyle w:val="53"/>
          <w:color w:val="000000" w:themeColor="text1"/>
          <w:sz w:val="23"/>
          <w:szCs w:val="23"/>
          <w14:textFill>
            <w14:solidFill>
              <w14:schemeClr w14:val="tx1"/>
            </w14:solidFill>
          </w14:textFill>
        </w:rPr>
        <w:t xml:space="preserve">A licitação será regida pela </w:t>
      </w:r>
      <w:r>
        <w:rPr>
          <w:sz w:val="23"/>
          <w:szCs w:val="23"/>
        </w:rPr>
        <w:fldChar w:fldCharType="begin"/>
      </w:r>
      <w:r>
        <w:rPr>
          <w:sz w:val="23"/>
          <w:szCs w:val="23"/>
        </w:rPr>
        <w:instrText xml:space="preserve"> HYPERLINK "https://www.planalto.gov.br/ccivil_03/_ato2019-2022/2021/lei/l14133.htm" \h </w:instrText>
      </w:r>
      <w:r>
        <w:rPr>
          <w:sz w:val="23"/>
          <w:szCs w:val="23"/>
        </w:rPr>
        <w:fldChar w:fldCharType="separate"/>
      </w:r>
      <w:r>
        <w:rPr>
          <w:rStyle w:val="62"/>
          <w:sz w:val="23"/>
          <w:szCs w:val="23"/>
        </w:rPr>
        <w:t>Lei Federal nº 14.133, de 2021</w:t>
      </w:r>
      <w:r>
        <w:rPr>
          <w:rStyle w:val="62"/>
          <w:sz w:val="23"/>
          <w:szCs w:val="23"/>
        </w:rPr>
        <w:fldChar w:fldCharType="end"/>
      </w:r>
      <w:r>
        <w:rPr>
          <w:rStyle w:val="53"/>
          <w:color w:val="000000" w:themeColor="text1"/>
          <w:sz w:val="23"/>
          <w:szCs w:val="23"/>
          <w14:textFill>
            <w14:solidFill>
              <w14:schemeClr w14:val="tx1"/>
            </w14:solidFill>
          </w14:textFill>
        </w:rPr>
        <w:t xml:space="preserve"> e, complementarmente, pela </w:t>
      </w:r>
      <w:r>
        <w:rPr>
          <w:sz w:val="23"/>
          <w:szCs w:val="23"/>
        </w:rPr>
        <w:fldChar w:fldCharType="begin"/>
      </w:r>
      <w:r>
        <w:rPr>
          <w:sz w:val="23"/>
          <w:szCs w:val="23"/>
        </w:rPr>
        <w:instrText xml:space="preserve"> HYPERLINK "https://www.planalto.gov.br/ccivil_03/leis/lcp/lcp123.htm" \h </w:instrText>
      </w:r>
      <w:r>
        <w:rPr>
          <w:sz w:val="23"/>
          <w:szCs w:val="23"/>
        </w:rPr>
        <w:fldChar w:fldCharType="separate"/>
      </w:r>
      <w:r>
        <w:rPr>
          <w:rStyle w:val="62"/>
          <w:sz w:val="23"/>
          <w:szCs w:val="23"/>
        </w:rPr>
        <w:t>Lei Complementar Federal nº 123, de 2006</w:t>
      </w:r>
      <w:r>
        <w:rPr>
          <w:rStyle w:val="62"/>
          <w:sz w:val="23"/>
          <w:szCs w:val="23"/>
        </w:rPr>
        <w:fldChar w:fldCharType="end"/>
      </w:r>
      <w:r>
        <w:rPr>
          <w:rStyle w:val="53"/>
          <w:color w:val="000000" w:themeColor="text1"/>
          <w:sz w:val="23"/>
          <w:szCs w:val="23"/>
          <w:shd w:val="clear" w:fill="auto"/>
          <w14:textFill>
            <w14:solidFill>
              <w14:schemeClr w14:val="tx1"/>
            </w14:solidFill>
          </w14:textFill>
        </w:rPr>
        <w:t>, pelas Resoluções 042/</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043/</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044/</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046/</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048/</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049/</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050/</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051/</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052/</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053/</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055/</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055/</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056/</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057/</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058/</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059/</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06</w:t>
      </w:r>
      <w:r>
        <w:rPr>
          <w:rStyle w:val="53"/>
          <w:color w:val="000000" w:themeColor="text1"/>
          <w:sz w:val="23"/>
          <w:szCs w:val="23"/>
          <w:shd w:val="clear" w:fill="auto"/>
          <w:lang w:val="pt-BR"/>
          <w14:textFill>
            <w14:solidFill>
              <w14:schemeClr w14:val="tx1"/>
            </w14:solidFill>
          </w14:textFill>
        </w:rPr>
        <w:t>2</w:t>
      </w:r>
      <w:r>
        <w:rPr>
          <w:rStyle w:val="53"/>
          <w:color w:val="000000" w:themeColor="text1"/>
          <w:sz w:val="23"/>
          <w:szCs w:val="23"/>
          <w:shd w:val="clear" w:fill="auto"/>
          <w14:textFill>
            <w14:solidFill>
              <w14:schemeClr w14:val="tx1"/>
            </w14:solidFill>
          </w14:textFill>
        </w:rPr>
        <w:t>/</w:t>
      </w:r>
      <w:r>
        <w:rPr>
          <w:rStyle w:val="53"/>
          <w:color w:val="000000" w:themeColor="text1"/>
          <w:sz w:val="23"/>
          <w:szCs w:val="23"/>
          <w:shd w:val="clear" w:fill="auto"/>
          <w:lang w:val="pt-BR"/>
          <w14:textFill>
            <w14:solidFill>
              <w14:schemeClr w14:val="tx1"/>
            </w14:solidFill>
          </w14:textFill>
        </w:rPr>
        <w:t xml:space="preserve">2023 </w:t>
      </w:r>
      <w:r>
        <w:rPr>
          <w:rStyle w:val="53"/>
          <w:color w:val="000000" w:themeColor="text1"/>
          <w:sz w:val="23"/>
          <w:szCs w:val="23"/>
          <w:shd w:val="clear" w:fill="auto"/>
          <w14:textFill>
            <w14:solidFill>
              <w14:schemeClr w14:val="tx1"/>
            </w14:solidFill>
          </w14:textFill>
        </w:rPr>
        <w:t>e 06</w:t>
      </w:r>
      <w:r>
        <w:rPr>
          <w:rStyle w:val="53"/>
          <w:color w:val="000000" w:themeColor="text1"/>
          <w:sz w:val="23"/>
          <w:szCs w:val="23"/>
          <w:shd w:val="clear" w:fill="auto"/>
          <w:lang w:val="pt-BR"/>
          <w14:textFill>
            <w14:solidFill>
              <w14:schemeClr w14:val="tx1"/>
            </w14:solidFill>
          </w14:textFill>
        </w:rPr>
        <w:t>4</w:t>
      </w:r>
      <w:r>
        <w:rPr>
          <w:rStyle w:val="53"/>
          <w:color w:val="000000" w:themeColor="text1"/>
          <w:sz w:val="23"/>
          <w:szCs w:val="23"/>
          <w:shd w:val="clear" w:fill="auto"/>
          <w14:textFill>
            <w14:solidFill>
              <w14:schemeClr w14:val="tx1"/>
            </w14:solidFill>
          </w14:textFill>
        </w:rPr>
        <w:t>/2024.</w:t>
      </w:r>
    </w:p>
    <w:p w14:paraId="17F82307">
      <w:pPr>
        <w:pStyle w:val="50"/>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pPr>
      <w:r>
        <w:rPr>
          <w:rStyle w:val="53"/>
          <w:b/>
          <w:bCs/>
          <w:sz w:val="22"/>
          <w:szCs w:val="22"/>
        </w:rPr>
        <w:t>SUMÁRIO</w:t>
      </w:r>
    </w:p>
    <w:p w14:paraId="248A4632">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PUBLICIDADE.......................................................................................................................</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14:paraId="4A8C6B69">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PLATAFORMA ELETRÔNICA.............................................................................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14:paraId="78E0ECD4">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DATA E HORÁRIO......................................................................................................................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14:paraId="6D55BDD5">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5.</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AGENTE DE CONTRAÇÃO</w:t>
      </w:r>
      <w:r>
        <w:rPr>
          <w:rFonts w:hint="default"/>
          <w:b/>
          <w:bCs/>
          <w:color w:val="000000" w:themeColor="text1"/>
          <w:sz w:val="22"/>
          <w:szCs w:val="22"/>
          <w:highlight w:val="none"/>
          <w:shd w:val="clear" w:color="auto" w:fill="auto"/>
          <w:lang w:val="pt-BR"/>
          <w14:textFill>
            <w14:solidFill>
              <w14:schemeClr w14:val="tx1"/>
            </w14:solidFill>
          </w14:textFill>
        </w:rPr>
        <w:t>.........................................................................................................3</w:t>
      </w:r>
    </w:p>
    <w:p w14:paraId="132DC537">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6.</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OBJETO.........................................................................................................................................</w:t>
      </w:r>
      <w:r>
        <w:rPr>
          <w:rFonts w:hint="default"/>
          <w:b/>
          <w:bCs/>
          <w:color w:val="000000" w:themeColor="text1"/>
          <w:sz w:val="22"/>
          <w:szCs w:val="22"/>
          <w:highlight w:val="none"/>
          <w:shd w:val="clear" w:color="auto" w:fill="auto"/>
          <w:lang w:val="pt-BR"/>
          <w14:textFill>
            <w14:solidFill>
              <w14:schemeClr w14:val="tx1"/>
            </w14:solidFill>
          </w14:textFill>
        </w:rPr>
        <w:t>..3</w:t>
      </w:r>
    </w:p>
    <w:p w14:paraId="2FB1AB7D">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7.</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CONDIÇÕES PARA PARTICIPAÇÃO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p>
    <w:p w14:paraId="53325B85">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8.</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CONSÓRCIO</w:t>
      </w:r>
      <w:r>
        <w:rPr>
          <w:rFonts w:hint="default"/>
          <w:b/>
          <w:bCs/>
          <w:color w:val="000000" w:themeColor="text1"/>
          <w:sz w:val="22"/>
          <w:szCs w:val="22"/>
          <w:highlight w:val="none"/>
          <w:shd w:val="clear" w:color="auto" w:fill="auto"/>
          <w:lang w:val="pt-BR"/>
          <w14:textFill>
            <w14:solidFill>
              <w14:schemeClr w14:val="tx1"/>
            </w14:solidFill>
          </w14:textFill>
        </w:rPr>
        <w:t>...................................................................................................................................5</w:t>
      </w:r>
    </w:p>
    <w:p w14:paraId="329EE195">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9.</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COOPERATIVA</w:t>
      </w:r>
      <w:r>
        <w:rPr>
          <w:rFonts w:hint="default"/>
          <w:b/>
          <w:bCs/>
          <w:color w:val="000000" w:themeColor="text1"/>
          <w:sz w:val="22"/>
          <w:szCs w:val="22"/>
          <w:highlight w:val="none"/>
          <w:shd w:val="clear" w:color="auto" w:fill="auto"/>
          <w:lang w:val="pt-BR"/>
          <w14:textFill>
            <w14:solidFill>
              <w14:schemeClr w14:val="tx1"/>
            </w14:solidFill>
          </w14:textFill>
        </w:rPr>
        <w:t>..............................................................................................................................5</w:t>
      </w:r>
    </w:p>
    <w:p w14:paraId="3CFF4A04">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cs="Times New Roman" w:eastAsiaTheme="minorHAnsi"/>
          <w:b/>
          <w:bCs/>
          <w:color w:val="auto"/>
          <w:sz w:val="22"/>
          <w:szCs w:val="22"/>
          <w:lang w:val="pt-BR" w:eastAsia="en-US"/>
        </w:rPr>
        <w:t xml:space="preserve">10. </w:t>
      </w:r>
      <w:r>
        <w:rPr>
          <w:rFonts w:hint="default" w:ascii="Times New Roman" w:hAnsi="Times New Roman" w:cs="Times New Roman" w:eastAsiaTheme="minorHAnsi"/>
          <w:b/>
          <w:bCs/>
          <w:color w:val="auto"/>
          <w:sz w:val="22"/>
          <w:szCs w:val="22"/>
          <w:lang w:eastAsia="en-US"/>
        </w:rPr>
        <w:t>VISTORIA PRÉVIA (OPCIONAL)</w:t>
      </w:r>
      <w:r>
        <w:rPr>
          <w:rFonts w:hint="default" w:ascii="Times New Roman" w:hAnsi="Times New Roman" w:cs="Times New Roman" w:eastAsiaTheme="minorHAnsi"/>
          <w:b/>
          <w:bCs/>
          <w:color w:val="auto"/>
          <w:sz w:val="22"/>
          <w:szCs w:val="22"/>
          <w:lang w:val="pt-BR" w:eastAsia="en-US"/>
        </w:rPr>
        <w:t>.............................................................................................</w:t>
      </w:r>
      <w:r>
        <w:rPr>
          <w:rFonts w:hint="default" w:cs="Times New Roman" w:eastAsiaTheme="minorHAnsi"/>
          <w:b/>
          <w:bCs/>
          <w:color w:val="auto"/>
          <w:sz w:val="22"/>
          <w:szCs w:val="22"/>
          <w:lang w:val="pt-BR" w:eastAsia="en-US"/>
        </w:rPr>
        <w:t>6</w:t>
      </w:r>
    </w:p>
    <w:p w14:paraId="2D6F960B">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1</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IMPUGNAÇÃO E ESCLARECIMENTOS</w:t>
      </w:r>
      <w:r>
        <w:rPr>
          <w:rFonts w:hint="default"/>
          <w:b/>
          <w:bCs/>
          <w:color w:val="000000" w:themeColor="text1"/>
          <w:sz w:val="22"/>
          <w:szCs w:val="22"/>
          <w:highlight w:val="none"/>
          <w:shd w:val="clear" w:color="auto" w:fill="auto"/>
          <w:lang w:val="pt-BR"/>
          <w14:textFill>
            <w14:solidFill>
              <w14:schemeClr w14:val="tx1"/>
            </w14:solidFill>
          </w14:textFill>
        </w:rPr>
        <w:t>................................................................................6</w:t>
      </w:r>
    </w:p>
    <w:p w14:paraId="0B76D59B">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CREDENCIAMENTO</w:t>
      </w:r>
      <w:r>
        <w:rPr>
          <w:rFonts w:hint="default"/>
          <w:b/>
          <w:bCs/>
          <w:color w:val="000000" w:themeColor="text1"/>
          <w:sz w:val="22"/>
          <w:szCs w:val="22"/>
          <w:highlight w:val="none"/>
          <w:shd w:val="clear" w:color="auto" w:fill="auto"/>
          <w:lang w:val="pt-BR"/>
          <w14:textFill>
            <w14:solidFill>
              <w14:schemeClr w14:val="tx1"/>
            </w14:solidFill>
          </w14:textFill>
        </w:rPr>
        <w:t>...................................................................................................................7</w:t>
      </w:r>
    </w:p>
    <w:p w14:paraId="4414C172">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3</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CADASTRAMENTO DA PROPOSTA</w:t>
      </w:r>
      <w:r>
        <w:rPr>
          <w:rFonts w:hint="default"/>
          <w:b/>
          <w:bCs/>
          <w:color w:val="000000" w:themeColor="text1"/>
          <w:sz w:val="22"/>
          <w:szCs w:val="22"/>
          <w:highlight w:val="none"/>
          <w:shd w:val="clear" w:color="auto" w:fill="auto"/>
          <w:lang w:val="pt-BR"/>
          <w14:textFill>
            <w14:solidFill>
              <w14:schemeClr w14:val="tx1"/>
            </w14:solidFill>
          </w14:textFill>
        </w:rPr>
        <w:t>.......................................................................................8</w:t>
      </w:r>
    </w:p>
    <w:p w14:paraId="0E688B00">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4</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CADASTRAMENTO DOS DOCUMENTOS DE HABILITAÇÃO</w:t>
      </w:r>
      <w:r>
        <w:rPr>
          <w:rFonts w:hint="default"/>
          <w:b/>
          <w:bCs/>
          <w:color w:val="000000" w:themeColor="text1"/>
          <w:sz w:val="22"/>
          <w:szCs w:val="22"/>
          <w:highlight w:val="none"/>
          <w:shd w:val="clear" w:color="auto" w:fill="auto"/>
          <w:lang w:val="pt-BR"/>
          <w14:textFill>
            <w14:solidFill>
              <w14:schemeClr w14:val="tx1"/>
            </w14:solidFill>
          </w14:textFill>
        </w:rPr>
        <w:t>.........................................9</w:t>
      </w:r>
    </w:p>
    <w:p w14:paraId="17037279">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b/>
          <w:bCs/>
          <w:color w:val="000000" w:themeColor="text1"/>
          <w:sz w:val="22"/>
          <w:szCs w:val="22"/>
          <w:highlight w:val="none"/>
          <w:shd w:val="clear" w:color="auto" w:fill="auto"/>
          <w:lang w:val="pt-BR"/>
          <w14:textFill>
            <w14:solidFill>
              <w14:schemeClr w14:val="tx1"/>
            </w14:solidFill>
          </w14:textFill>
        </w:rPr>
      </w:pPr>
      <w:r>
        <w:rPr>
          <w:rFonts w:hint="default"/>
          <w:b/>
          <w:bCs/>
          <w:color w:val="000000" w:themeColor="text1"/>
          <w:sz w:val="22"/>
          <w:szCs w:val="22"/>
          <w:highlight w:val="none"/>
          <w:shd w:val="clear" w:color="auto" w:fill="auto"/>
          <w:lang w:val="pt-BR"/>
          <w14:textFill>
            <w14:solidFill>
              <w14:schemeClr w14:val="tx1"/>
            </w14:solidFill>
          </w14:textFill>
        </w:rPr>
        <w:t>15. ABERTURA DA SESSÃO............................................................................................................9</w:t>
      </w:r>
    </w:p>
    <w:p w14:paraId="7BBCB5DA">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6</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FORMULAÇÃO DE LANCES</w:t>
      </w:r>
      <w:r>
        <w:rPr>
          <w:rFonts w:hint="default"/>
          <w:b/>
          <w:bCs/>
          <w:color w:val="000000" w:themeColor="text1"/>
          <w:sz w:val="22"/>
          <w:szCs w:val="22"/>
          <w:highlight w:val="none"/>
          <w:shd w:val="clear" w:color="auto" w:fill="auto"/>
          <w:lang w:val="pt-BR"/>
          <w14:textFill>
            <w14:solidFill>
              <w14:schemeClr w14:val="tx1"/>
            </w14:solidFill>
          </w14:textFill>
        </w:rPr>
        <w:t>...................................................................................................10</w:t>
      </w:r>
    </w:p>
    <w:p w14:paraId="1A9CA14D">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7</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DESCONEXÃO DO(A) Pregoeiro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10</w:t>
      </w:r>
    </w:p>
    <w:p w14:paraId="2C59C478">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8</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BENEFÍCIOS ÀS MICROEMPRESAS E EMPRESAS DE PEQUENO PORTE</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0</w:t>
      </w:r>
    </w:p>
    <w:p w14:paraId="27C5F2B1">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9</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EMPATE FICTO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1</w:t>
      </w:r>
    </w:p>
    <w:p w14:paraId="1AAA0884">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b/>
          <w:bCs/>
          <w:color w:val="000000" w:themeColor="text1"/>
          <w:sz w:val="22"/>
          <w:szCs w:val="22"/>
          <w:highlight w:val="none"/>
          <w:shd w:val="clear" w:color="auto" w:fill="auto"/>
          <w:lang w:val="pt-BR"/>
          <w14:textFill>
            <w14:solidFill>
              <w14:schemeClr w14:val="tx1"/>
            </w14:solidFill>
          </w14:textFill>
        </w:rPr>
        <w:t>20</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EMPATE REAL</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1FE01F1C">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1</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CONFORMIDADE DA PROPOSTA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088673C8">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2</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NEGOCIAÇÃO........................................................................................................................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386783E9">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3</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DESCLASSIFICAÇÃO DE PROPOSTA</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b/>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3</w:t>
      </w:r>
    </w:p>
    <w:p w14:paraId="3CB2910B">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4</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INEXEQUIBILIDADE DE PROPOSTA</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b/>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3</w:t>
      </w:r>
    </w:p>
    <w:p w14:paraId="6E47249C">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5</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PROPOSTA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4</w:t>
      </w:r>
    </w:p>
    <w:p w14:paraId="18EE2C37">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6</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ACEITABILIDADE DA PROPOSTA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5</w:t>
      </w:r>
    </w:p>
    <w:p w14:paraId="5BADE33D">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7</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DA LICITANTE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.17</w:t>
      </w:r>
    </w:p>
    <w:p w14:paraId="0BFA6C07">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8</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JURÍDICA.....................................................................................................</w:t>
      </w:r>
      <w:r>
        <w:rPr>
          <w:rFonts w:hint="default"/>
          <w:b/>
          <w:bCs/>
          <w:color w:val="000000" w:themeColor="text1"/>
          <w:sz w:val="22"/>
          <w:szCs w:val="22"/>
          <w:highlight w:val="none"/>
          <w:shd w:val="clear" w:color="auto" w:fill="auto"/>
          <w:lang w:val="pt-BR"/>
          <w14:textFill>
            <w14:solidFill>
              <w14:schemeClr w14:val="tx1"/>
            </w14:solidFill>
          </w14:textFill>
        </w:rPr>
        <w:t>.18</w:t>
      </w:r>
    </w:p>
    <w:p w14:paraId="04B1949F">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9</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QUALIFICAÇÃO TÉCNICO-PROFISSIONAL E TÉCNICO-OPERACIONAL..............</w:t>
      </w:r>
      <w:r>
        <w:rPr>
          <w:rFonts w:hint="default"/>
          <w:b/>
          <w:bCs/>
          <w:color w:val="000000" w:themeColor="text1"/>
          <w:sz w:val="22"/>
          <w:szCs w:val="22"/>
          <w:highlight w:val="none"/>
          <w:shd w:val="clear" w:color="auto" w:fill="auto"/>
          <w:lang w:val="pt-BR"/>
          <w14:textFill>
            <w14:solidFill>
              <w14:schemeClr w14:val="tx1"/>
            </w14:solidFill>
          </w14:textFill>
        </w:rPr>
        <w:t>18</w:t>
      </w:r>
    </w:p>
    <w:p w14:paraId="7CEC5541">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b/>
          <w:bCs/>
          <w:color w:val="000000" w:themeColor="text1"/>
          <w:sz w:val="22"/>
          <w:szCs w:val="22"/>
          <w:highlight w:val="none"/>
          <w:shd w:val="clear" w:color="auto" w:fill="auto"/>
          <w:lang w:val="pt-BR"/>
          <w14:textFill>
            <w14:solidFill>
              <w14:schemeClr w14:val="tx1"/>
            </w14:solidFill>
          </w14:textFill>
        </w:rPr>
        <w:t>30</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REGULARIDADE FISCAL, SOCIAL E TRABALHISTA</w:t>
      </w:r>
      <w:r>
        <w:rPr>
          <w:rFonts w:hint="default"/>
          <w:b/>
          <w:bCs/>
          <w:color w:val="000000" w:themeColor="text1"/>
          <w:sz w:val="22"/>
          <w:szCs w:val="22"/>
          <w:highlight w:val="none"/>
          <w:shd w:val="clear" w:color="auto" w:fill="auto"/>
          <w:lang w:val="pt-BR"/>
          <w14:textFill>
            <w14:solidFill>
              <w14:schemeClr w14:val="tx1"/>
            </w14:solidFill>
          </w14:textFill>
        </w:rPr>
        <w:t>....................................................18</w:t>
      </w:r>
    </w:p>
    <w:p w14:paraId="57951BEC">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1</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ECONÔMICO-FINANCEIRA</w:t>
      </w:r>
      <w:r>
        <w:rPr>
          <w:rFonts w:hint="default"/>
          <w:b/>
          <w:bCs/>
          <w:color w:val="000000" w:themeColor="text1"/>
          <w:sz w:val="22"/>
          <w:szCs w:val="22"/>
          <w:highlight w:val="none"/>
          <w:shd w:val="clear" w:color="auto" w:fill="auto"/>
          <w:lang w:val="pt-BR"/>
          <w14:textFill>
            <w14:solidFill>
              <w14:schemeClr w14:val="tx1"/>
            </w14:solidFill>
          </w14:textFill>
        </w:rPr>
        <w:t>.....................................................................18</w:t>
      </w:r>
    </w:p>
    <w:p w14:paraId="34A0D6A2">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2</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OUTROS DOCUMENTO</w:t>
      </w:r>
      <w:r>
        <w:rPr>
          <w:rFonts w:hint="default"/>
          <w:b/>
          <w:bCs/>
          <w:color w:val="000000" w:themeColor="text1"/>
          <w:sz w:val="22"/>
          <w:szCs w:val="22"/>
          <w:highlight w:val="none"/>
          <w:shd w:val="clear" w:color="auto" w:fill="auto"/>
          <w:lang w:val="pt-BR"/>
          <w14:textFill>
            <w14:solidFill>
              <w14:schemeClr w14:val="tx1"/>
            </w14:solidFill>
          </w14:textFill>
        </w:rPr>
        <w:t>S.........................................................................................................18</w:t>
      </w:r>
    </w:p>
    <w:p w14:paraId="2E191292">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3</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ENCAMINHAMENTO DA PROPOSTA VENCEDORA</w:t>
      </w:r>
      <w:r>
        <w:rPr>
          <w:rFonts w:hint="default"/>
          <w:b/>
          <w:bCs/>
          <w:color w:val="000000" w:themeColor="text1"/>
          <w:sz w:val="22"/>
          <w:szCs w:val="22"/>
          <w:highlight w:val="none"/>
          <w:shd w:val="clear" w:color="auto" w:fill="auto"/>
          <w:lang w:val="pt-BR"/>
          <w14:textFill>
            <w14:solidFill>
              <w14:schemeClr w14:val="tx1"/>
            </w14:solidFill>
          </w14:textFill>
        </w:rPr>
        <w:t>.......................................................19</w:t>
      </w:r>
    </w:p>
    <w:p w14:paraId="13AA26E8">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4</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RECURSO(S) ADMINISTRATIVO(S)</w:t>
      </w:r>
      <w:r>
        <w:rPr>
          <w:rFonts w:hint="default"/>
          <w:b/>
          <w:bCs/>
          <w:color w:val="000000" w:themeColor="text1"/>
          <w:sz w:val="22"/>
          <w:szCs w:val="22"/>
          <w:highlight w:val="none"/>
          <w:shd w:val="clear" w:color="auto" w:fill="auto"/>
          <w:lang w:val="pt-BR"/>
          <w14:textFill>
            <w14:solidFill>
              <w14:schemeClr w14:val="tx1"/>
            </w14:solidFill>
          </w14:textFill>
        </w:rPr>
        <w:t>.....................................................................................19</w:t>
      </w:r>
    </w:p>
    <w:p w14:paraId="31703673">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5</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REABERTURA DA SESSÃO PÚBLICA</w:t>
      </w:r>
      <w:r>
        <w:rPr>
          <w:rFonts w:hint="default"/>
          <w:b/>
          <w:bCs/>
          <w:color w:val="000000" w:themeColor="text1"/>
          <w:sz w:val="22"/>
          <w:szCs w:val="22"/>
          <w:highlight w:val="none"/>
          <w:shd w:val="clear" w:color="auto" w:fill="auto"/>
          <w:lang w:val="pt-BR"/>
          <w14:textFill>
            <w14:solidFill>
              <w14:schemeClr w14:val="tx1"/>
            </w14:solidFill>
          </w14:textFill>
        </w:rPr>
        <w:t>..................................................................................21</w:t>
      </w:r>
    </w:p>
    <w:p w14:paraId="08631711">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6</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ENCERRAMENTO DA LICITAÇÃO</w:t>
      </w:r>
      <w:r>
        <w:rPr>
          <w:rFonts w:hint="default"/>
          <w:b/>
          <w:bCs/>
          <w:color w:val="000000" w:themeColor="text1"/>
          <w:sz w:val="22"/>
          <w:szCs w:val="22"/>
          <w:highlight w:val="none"/>
          <w:shd w:val="clear" w:color="auto" w:fill="auto"/>
          <w:lang w:val="pt-BR"/>
          <w14:textFill>
            <w14:solidFill>
              <w14:schemeClr w14:val="tx1"/>
            </w14:solidFill>
          </w14:textFill>
        </w:rPr>
        <w:t>......................................................................................21</w:t>
      </w:r>
    </w:p>
    <w:p w14:paraId="36F58CE5">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7</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REGISTRO DE PREÇOS</w:t>
      </w:r>
      <w:r>
        <w:rPr>
          <w:rFonts w:hint="default"/>
          <w:b/>
          <w:bCs/>
          <w:color w:val="000000" w:themeColor="text1"/>
          <w:sz w:val="22"/>
          <w:szCs w:val="22"/>
          <w:highlight w:val="none"/>
          <w:shd w:val="clear" w:color="auto" w:fill="auto"/>
          <w:lang w:val="pt-BR"/>
          <w14:textFill>
            <w14:solidFill>
              <w14:schemeClr w14:val="tx1"/>
            </w14:solidFill>
          </w14:textFill>
        </w:rPr>
        <w:t>...........................................................................................................22</w:t>
      </w:r>
    </w:p>
    <w:p w14:paraId="54C4B696">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8</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FORMAÇÃO DO CADASTRO DE RESERV</w:t>
      </w:r>
      <w:r>
        <w:rPr>
          <w:rFonts w:hint="default"/>
          <w:b/>
          <w:bCs/>
          <w:color w:val="000000" w:themeColor="text1"/>
          <w:sz w:val="22"/>
          <w:szCs w:val="22"/>
          <w:highlight w:val="none"/>
          <w:shd w:val="clear" w:color="auto" w:fill="auto"/>
          <w:lang w:val="pt-BR"/>
          <w14:textFill>
            <w14:solidFill>
              <w14:schemeClr w14:val="tx1"/>
            </w14:solidFill>
          </w14:textFill>
        </w:rPr>
        <w:t>A.......................................................................23</w:t>
      </w:r>
    </w:p>
    <w:p w14:paraId="5C73920C">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9</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CONTRATAÇÃO..................................................................................................................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4</w:t>
      </w:r>
    </w:p>
    <w:p w14:paraId="4DFF1BA7">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b/>
          <w:bCs/>
          <w:color w:val="000000" w:themeColor="text1"/>
          <w:sz w:val="22"/>
          <w:szCs w:val="22"/>
          <w:highlight w:val="none"/>
          <w:shd w:val="clear" w:color="auto" w:fill="auto"/>
          <w:lang w:val="pt-BR"/>
          <w14:textFill>
            <w14:solidFill>
              <w14:schemeClr w14:val="tx1"/>
            </w14:solidFill>
          </w14:textFill>
        </w:rPr>
        <w:t>40</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SANÇÕES ADMINISTRATIVAS DE LICITAÇÃO............................................................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4</w:t>
      </w:r>
    </w:p>
    <w:p w14:paraId="31B284DE">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r>
        <w:rPr>
          <w:rFonts w:hint="default"/>
          <w:b/>
          <w:bCs/>
          <w:color w:val="000000" w:themeColor="text1"/>
          <w:sz w:val="22"/>
          <w:szCs w:val="22"/>
          <w:highlight w:val="none"/>
          <w:shd w:val="clear" w:color="auto" w:fill="auto"/>
          <w:lang w:val="pt-BR"/>
          <w14:textFill>
            <w14:solidFill>
              <w14:schemeClr w14:val="tx1"/>
            </w14:solidFill>
          </w14:textFill>
        </w:rPr>
        <w:t>1</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PROTEÇÃO DOS DADOS NA LICITAÇÃO........................................................................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4</w:t>
      </w:r>
    </w:p>
    <w:p w14:paraId="7888BC69">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r>
        <w:rPr>
          <w:rFonts w:hint="default"/>
          <w:b/>
          <w:bCs/>
          <w:color w:val="000000" w:themeColor="text1"/>
          <w:sz w:val="22"/>
          <w:szCs w:val="22"/>
          <w:highlight w:val="none"/>
          <w:shd w:val="clear" w:color="auto" w:fill="auto"/>
          <w:lang w:val="pt-BR"/>
          <w14:textFill>
            <w14:solidFill>
              <w14:schemeClr w14:val="tx1"/>
            </w14:solidFill>
          </w14:textFill>
        </w:rPr>
        <w:t>2</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CRÉDITOS ORÇAMENTÁRIOS.........................................................................................</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 2</w:t>
      </w:r>
      <w:r>
        <w:rPr>
          <w:rFonts w:hint="default"/>
          <w:b/>
          <w:bCs/>
          <w:color w:val="000000" w:themeColor="text1"/>
          <w:sz w:val="22"/>
          <w:szCs w:val="22"/>
          <w:highlight w:val="none"/>
          <w:shd w:val="clear" w:color="auto" w:fill="auto"/>
          <w:lang w:val="pt-BR"/>
          <w14:textFill>
            <w14:solidFill>
              <w14:schemeClr w14:val="tx1"/>
            </w14:solidFill>
          </w14:textFill>
        </w:rPr>
        <w:t>5</w:t>
      </w:r>
    </w:p>
    <w:p w14:paraId="705D0A88">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r>
        <w:rPr>
          <w:rFonts w:hint="default"/>
          <w:b/>
          <w:bCs/>
          <w:color w:val="000000" w:themeColor="text1"/>
          <w:sz w:val="22"/>
          <w:szCs w:val="22"/>
          <w:highlight w:val="none"/>
          <w:shd w:val="clear" w:color="auto" w:fill="auto"/>
          <w:lang w:val="pt-BR"/>
          <w14:textFill>
            <w14:solidFill>
              <w14:schemeClr w14:val="tx1"/>
            </w14:solidFill>
          </w14:textFill>
        </w:rPr>
        <w:t>3</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26</w:t>
      </w:r>
    </w:p>
    <w:p w14:paraId="284F14DF">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 - TERMO DE REFERÊNCIA......................................................................................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27</w:t>
      </w:r>
    </w:p>
    <w:p w14:paraId="7BDCFA16">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II - MODELO DE DECLARAÇÕES</w:t>
      </w:r>
      <w:r>
        <w:rPr>
          <w:rFonts w:hint="default"/>
          <w:b/>
          <w:bCs/>
          <w:color w:val="000000" w:themeColor="text1"/>
          <w:sz w:val="22"/>
          <w:szCs w:val="22"/>
          <w:highlight w:val="none"/>
          <w:shd w:val="clear" w:color="auto" w:fill="auto"/>
          <w:lang w:val="pt-BR"/>
          <w14:textFill>
            <w14:solidFill>
              <w14:schemeClr w14:val="tx1"/>
            </w14:solidFill>
          </w14:textFill>
        </w:rPr>
        <w:t>................................................................................35</w:t>
      </w:r>
    </w:p>
    <w:p w14:paraId="26EE03A9">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III - MODELO DE PROPOSTA</w:t>
      </w:r>
      <w:r>
        <w:rPr>
          <w:rFonts w:hint="default"/>
          <w:b/>
          <w:bCs/>
          <w:color w:val="000000" w:themeColor="text1"/>
          <w:sz w:val="22"/>
          <w:szCs w:val="22"/>
          <w:highlight w:val="none"/>
          <w:shd w:val="clear" w:color="auto" w:fill="auto"/>
          <w:lang w:val="pt-BR"/>
          <w14:textFill>
            <w14:solidFill>
              <w14:schemeClr w14:val="tx1"/>
            </w14:solidFill>
          </w14:textFill>
        </w:rPr>
        <w:t>.......................................................................................36</w:t>
      </w:r>
    </w:p>
    <w:p w14:paraId="555C2A0F">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"_Toc149509739"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highlight w:val="none"/>
          <w:lang w:eastAsia="en-US"/>
        </w:rPr>
        <w:t>ANEXO I</w:t>
      </w:r>
      <w:r>
        <w:rPr>
          <w:rFonts w:hint="default" w:ascii="Times New Roman" w:hAnsi="Times New Roman" w:cs="Times New Roman" w:eastAsiaTheme="minorHAnsi"/>
          <w:b/>
          <w:bCs/>
          <w:color w:val="auto"/>
          <w:sz w:val="22"/>
          <w:szCs w:val="22"/>
          <w:highlight w:val="none"/>
          <w:lang w:val="pt-BR" w:eastAsia="en-US"/>
        </w:rPr>
        <w:t>V</w:t>
      </w:r>
      <w:r>
        <w:rPr>
          <w:rFonts w:hint="default" w:ascii="Times New Roman" w:hAnsi="Times New Roman" w:cs="Times New Roman" w:eastAsiaTheme="minorHAnsi"/>
          <w:b/>
          <w:bCs/>
          <w:color w:val="auto"/>
          <w:sz w:val="22"/>
          <w:szCs w:val="22"/>
          <w:highlight w:val="none"/>
          <w:lang w:eastAsia="en-US"/>
        </w:rPr>
        <w:t xml:space="preserve"> - MODE</w:t>
      </w:r>
      <w:r>
        <w:rPr>
          <w:rFonts w:hint="default" w:ascii="Times New Roman" w:hAnsi="Times New Roman" w:cs="Times New Roman" w:eastAsiaTheme="minorHAnsi"/>
          <w:b/>
          <w:bCs/>
          <w:color w:val="auto"/>
          <w:sz w:val="22"/>
          <w:szCs w:val="22"/>
          <w:lang w:eastAsia="en-US"/>
        </w:rPr>
        <w:t>LO DE ATESTADO DE VISTORIA TÉCNICA</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eastAsiaTheme="minorHAnsi"/>
          <w:b/>
          <w:bCs/>
          <w:color w:val="auto"/>
          <w:sz w:val="22"/>
          <w:szCs w:val="22"/>
          <w:lang w:val="pt-BR" w:eastAsia="en-US"/>
        </w:rPr>
        <w:t>........................................3</w:t>
      </w:r>
      <w:r>
        <w:rPr>
          <w:rFonts w:hint="default" w:cs="Times New Roman" w:eastAsiaTheme="minorHAnsi"/>
          <w:b/>
          <w:bCs/>
          <w:color w:val="auto"/>
          <w:sz w:val="22"/>
          <w:szCs w:val="22"/>
          <w:lang w:val="pt-BR" w:eastAsia="en-US"/>
        </w:rPr>
        <w:t>7</w:t>
      </w:r>
    </w:p>
    <w:p w14:paraId="1CC17D4E">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val="pt-BR" w:eastAsia="en-US"/>
        </w:rPr>
        <w:t xml:space="preserve">ANEXO V - </w:t>
      </w:r>
      <w:r>
        <w:rPr>
          <w:rFonts w:hint="default" w:ascii="Times New Roman" w:hAnsi="Times New Roman" w:cs="Times New Roman" w:eastAsiaTheme="minorHAnsi"/>
          <w:b/>
          <w:bCs/>
          <w:color w:val="auto"/>
          <w:sz w:val="22"/>
          <w:szCs w:val="22"/>
          <w:lang w:eastAsia="en-US"/>
        </w:rPr>
        <w:t>MODELO DE DECLARAÇÃO DE PLENO CONHECIMENTO</w:t>
      </w:r>
      <w:r>
        <w:rPr>
          <w:rFonts w:hint="default" w:ascii="Times New Roman" w:hAnsi="Times New Roman" w:cs="Times New Roman" w:eastAsiaTheme="minorHAnsi"/>
          <w:b/>
          <w:bCs/>
          <w:color w:val="auto"/>
          <w:sz w:val="22"/>
          <w:szCs w:val="22"/>
          <w:lang w:val="pt-BR" w:eastAsia="en-US"/>
        </w:rPr>
        <w:t>.........................</w:t>
      </w:r>
      <w:r>
        <w:rPr>
          <w:rFonts w:hint="default" w:cs="Times New Roman" w:eastAsiaTheme="minorHAnsi"/>
          <w:b/>
          <w:bCs/>
          <w:color w:val="auto"/>
          <w:sz w:val="22"/>
          <w:szCs w:val="22"/>
          <w:lang w:val="pt-BR" w:eastAsia="en-US"/>
        </w:rPr>
        <w:t>38</w:t>
      </w:r>
    </w:p>
    <w:p w14:paraId="268E5C8E">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 xml:space="preserve">ANEXO </w:t>
      </w:r>
      <w:r>
        <w:rPr>
          <w:rFonts w:hint="default"/>
          <w:b/>
          <w:bCs/>
          <w:color w:val="000000" w:themeColor="text1"/>
          <w:sz w:val="22"/>
          <w:szCs w:val="22"/>
          <w:highlight w:val="none"/>
          <w:shd w:val="clear" w:color="auto" w:fill="auto"/>
          <w:lang w:val="pt-BR"/>
          <w14:textFill>
            <w14:solidFill>
              <w14:schemeClr w14:val="tx1"/>
            </w14:solidFill>
          </w14:textFill>
        </w:rPr>
        <w:t>VI</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 xml:space="preserve"> - MINUTA DA ATA DE REGISTRO DE PREÇOS</w:t>
      </w:r>
      <w:r>
        <w:rPr>
          <w:rFonts w:hint="default"/>
          <w:b/>
          <w:bCs/>
          <w:color w:val="000000" w:themeColor="text1"/>
          <w:sz w:val="22"/>
          <w:szCs w:val="22"/>
          <w:highlight w:val="none"/>
          <w:shd w:val="clear" w:color="auto" w:fill="auto"/>
          <w:lang w:val="pt-BR"/>
          <w14:textFill>
            <w14:solidFill>
              <w14:schemeClr w14:val="tx1"/>
            </w14:solidFill>
          </w14:textFill>
        </w:rPr>
        <w:t>.................................................39</w:t>
      </w:r>
    </w:p>
    <w:p w14:paraId="5BF003EA">
      <w:pPr>
        <w:pStyle w:val="27"/>
        <w:keepNext w:val="0"/>
        <w:keepLines w:val="0"/>
        <w:pageBreakBefore w:val="0"/>
        <w:widowControl/>
        <w:kinsoku/>
        <w:wordWrap/>
        <w:overflowPunct/>
        <w:topLinePunct w:val="0"/>
        <w:autoSpaceDE/>
        <w:autoSpaceDN/>
        <w:bidi w:val="0"/>
        <w:adjustRightInd/>
        <w:snapToGrid/>
        <w:spacing w:line="240" w:lineRule="auto"/>
        <w:rPr>
          <w:rFonts w:hint="default"/>
          <w:lang w:val="pt-BR"/>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V</w:t>
      </w:r>
      <w:r>
        <w:rPr>
          <w:rFonts w:hint="default"/>
          <w:b/>
          <w:bCs/>
          <w:color w:val="000000" w:themeColor="text1"/>
          <w:sz w:val="22"/>
          <w:szCs w:val="22"/>
          <w:highlight w:val="none"/>
          <w:shd w:val="clear" w:color="auto" w:fill="auto"/>
          <w:lang w:val="pt-BR"/>
          <w14:textFill>
            <w14:solidFill>
              <w14:schemeClr w14:val="tx1"/>
            </w14:solidFill>
          </w14:textFill>
        </w:rPr>
        <w:t>II</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 xml:space="preserve"> - MINUTA DO INSTRUMENTO DE CONTRAT</w:t>
      </w:r>
      <w:r>
        <w:rPr>
          <w:rFonts w:hint="default"/>
          <w:b/>
          <w:bCs/>
          <w:color w:val="000000" w:themeColor="text1"/>
          <w:sz w:val="22"/>
          <w:szCs w:val="22"/>
          <w:highlight w:val="none"/>
          <w:shd w:val="clear" w:color="auto" w:fill="auto"/>
          <w:lang w:val="pt-BR"/>
          <w14:textFill>
            <w14:solidFill>
              <w14:schemeClr w14:val="tx1"/>
            </w14:solidFill>
          </w14:textFill>
        </w:rPr>
        <w:t>O................................................49</w:t>
      </w:r>
    </w:p>
    <w:p w14:paraId="21813A40">
      <w:pPr>
        <w:pStyle w:val="2"/>
        <w:spacing w:before="360" w:after="0"/>
        <w:rPr>
          <w:sz w:val="21"/>
          <w:szCs w:val="21"/>
        </w:rPr>
      </w:pPr>
      <w:bookmarkStart w:id="0" w:name="_Toc149517427"/>
      <w:r>
        <w:rPr>
          <w:rStyle w:val="53"/>
          <w:sz w:val="21"/>
          <w:szCs w:val="21"/>
        </w:rPr>
        <w:t>PUBLICIDADE</w:t>
      </w:r>
      <w:bookmarkEnd w:id="0"/>
    </w:p>
    <w:p w14:paraId="7ADE3DA3">
      <w:pPr>
        <w:pStyle w:val="50"/>
        <w:numPr>
          <w:ilvl w:val="1"/>
          <w:numId w:val="1"/>
        </w:numPr>
        <w:tabs>
          <w:tab w:val="left" w:pos="1134"/>
        </w:tabs>
        <w:spacing w:before="120" w:beforeAutospacing="0" w:after="0" w:afterAutospacing="0" w:line="240" w:lineRule="auto"/>
        <w:ind w:left="-87" w:leftChars="0" w:firstLine="567" w:firstLineChars="0"/>
        <w:jc w:val="both"/>
        <w:textAlignment w:val="baseline"/>
        <w:rPr>
          <w:sz w:val="21"/>
          <w:szCs w:val="21"/>
        </w:rPr>
      </w:pPr>
      <w:r>
        <w:rPr>
          <w:sz w:val="21"/>
          <w:szCs w:val="21"/>
        </w:rPr>
        <w:t xml:space="preserve">A publicidade deste Edital será realizada mediante divulgação e manutenção do inteiro teor do ato convocatório e de seus anexos no Portal Nacional de Contratações Públicas - PNCP, disponível no endereço eletrônico: </w:t>
      </w:r>
      <w:r>
        <w:rPr>
          <w:sz w:val="21"/>
          <w:szCs w:val="21"/>
        </w:rPr>
        <w:fldChar w:fldCharType="begin"/>
      </w:r>
      <w:r>
        <w:rPr>
          <w:sz w:val="21"/>
          <w:szCs w:val="21"/>
        </w:rPr>
        <w:instrText xml:space="preserve"> HYPERLINK "https://pncp.gov.br/" \h </w:instrText>
      </w:r>
      <w:r>
        <w:rPr>
          <w:sz w:val="21"/>
          <w:szCs w:val="21"/>
        </w:rPr>
        <w:fldChar w:fldCharType="separate"/>
      </w:r>
      <w:r>
        <w:rPr>
          <w:rStyle w:val="62"/>
          <w:sz w:val="21"/>
          <w:szCs w:val="21"/>
        </w:rPr>
        <w:t>https://pncp.gov.br/</w:t>
      </w:r>
      <w:r>
        <w:rPr>
          <w:rStyle w:val="62"/>
          <w:sz w:val="21"/>
          <w:szCs w:val="21"/>
        </w:rPr>
        <w:fldChar w:fldCharType="end"/>
      </w:r>
      <w:r>
        <w:rPr>
          <w:sz w:val="21"/>
          <w:szCs w:val="21"/>
        </w:rPr>
        <w:t xml:space="preserve">, nos termos fixados nos </w:t>
      </w:r>
      <w:r>
        <w:rPr>
          <w:sz w:val="21"/>
          <w:szCs w:val="21"/>
        </w:rPr>
        <w:fldChar w:fldCharType="begin"/>
      </w:r>
      <w:r>
        <w:rPr>
          <w:rStyle w:val="62"/>
          <w:sz w:val="21"/>
          <w:szCs w:val="21"/>
        </w:rPr>
        <w:instrText xml:space="preserve"> HYPERLINK "https://www.planalto.gov.br/ccivil_03/_ato2019-2022/2021/lei/l14133.htm" \l "art54"</w:instrText>
      </w:r>
      <w:r>
        <w:rPr>
          <w:rStyle w:val="62"/>
          <w:sz w:val="21"/>
          <w:szCs w:val="21"/>
        </w:rPr>
        <w:fldChar w:fldCharType="separate"/>
      </w:r>
      <w:r>
        <w:rPr>
          <w:rStyle w:val="62"/>
          <w:sz w:val="21"/>
          <w:szCs w:val="21"/>
        </w:rPr>
        <w:t>art. 54 da Lei Federal nº 14.133, de 2021</w:t>
      </w:r>
      <w:r>
        <w:rPr>
          <w:rStyle w:val="62"/>
          <w:sz w:val="21"/>
          <w:szCs w:val="21"/>
        </w:rPr>
        <w:fldChar w:fldCharType="end"/>
      </w:r>
      <w:r>
        <w:rPr>
          <w:sz w:val="21"/>
          <w:szCs w:val="21"/>
        </w:rPr>
        <w:t>.</w:t>
      </w:r>
    </w:p>
    <w:p w14:paraId="3CEBFB3F">
      <w:pPr>
        <w:pStyle w:val="50"/>
        <w:numPr>
          <w:ilvl w:val="1"/>
          <w:numId w:val="1"/>
        </w:numPr>
        <w:tabs>
          <w:tab w:val="left" w:pos="1134"/>
        </w:tabs>
        <w:spacing w:before="0" w:beforeAutospacing="0" w:after="0" w:afterAutospacing="0" w:line="240" w:lineRule="auto"/>
        <w:ind w:left="-87" w:leftChars="0" w:firstLine="567" w:firstLineChars="0"/>
        <w:jc w:val="both"/>
        <w:textAlignment w:val="baseline"/>
        <w:rPr>
          <w:sz w:val="21"/>
          <w:szCs w:val="21"/>
        </w:rPr>
      </w:pPr>
      <w:r>
        <w:rPr>
          <w:sz w:val="21"/>
          <w:szCs w:val="21"/>
        </w:rPr>
        <w:t xml:space="preserve">O presente Edital também será publicado, em forma de AVISO, no </w:t>
      </w:r>
      <w:r>
        <w:rPr>
          <w:sz w:val="21"/>
          <w:szCs w:val="21"/>
        </w:rPr>
        <w:fldChar w:fldCharType="begin"/>
      </w:r>
      <w:r>
        <w:rPr>
          <w:sz w:val="21"/>
          <w:szCs w:val="21"/>
        </w:rPr>
        <w:instrText xml:space="preserve"> HYPERLINK "https://www.in.gov.br/servicos/diario-oficial-da-uniao" \h </w:instrText>
      </w:r>
      <w:r>
        <w:rPr>
          <w:sz w:val="21"/>
          <w:szCs w:val="21"/>
        </w:rPr>
        <w:fldChar w:fldCharType="separate"/>
      </w:r>
      <w:r>
        <w:rPr>
          <w:rStyle w:val="62"/>
          <w:sz w:val="21"/>
          <w:szCs w:val="21"/>
        </w:rPr>
        <w:t>Diário Oficial</w:t>
      </w:r>
      <w:r>
        <w:rPr>
          <w:rStyle w:val="62"/>
          <w:sz w:val="21"/>
          <w:szCs w:val="21"/>
        </w:rPr>
        <w:fldChar w:fldCharType="end"/>
      </w:r>
      <w:r>
        <w:rPr>
          <w:sz w:val="21"/>
          <w:szCs w:val="21"/>
        </w:rPr>
        <w:t>, bem como em jornal diário de grande circulação (</w:t>
      </w:r>
      <w:r>
        <w:rPr>
          <w:sz w:val="21"/>
          <w:szCs w:val="21"/>
        </w:rPr>
        <w:fldChar w:fldCharType="begin"/>
      </w:r>
      <w:r>
        <w:rPr>
          <w:rStyle w:val="62"/>
          <w:sz w:val="21"/>
          <w:szCs w:val="21"/>
        </w:rPr>
        <w:instrText xml:space="preserve"> HYPERLINK "https://www.planalto.gov.br/ccivil_03/_ato2019-2022/2021/lei/l14133.htm" \l "art54"</w:instrText>
      </w:r>
      <w:r>
        <w:rPr>
          <w:rStyle w:val="62"/>
          <w:sz w:val="21"/>
          <w:szCs w:val="21"/>
        </w:rPr>
        <w:fldChar w:fldCharType="separate"/>
      </w:r>
      <w:r>
        <w:rPr>
          <w:rStyle w:val="62"/>
          <w:sz w:val="21"/>
          <w:szCs w:val="21"/>
        </w:rPr>
        <w:t>art. 54, § 1º, da Lei Federal nº 14.133, de 2021</w:t>
      </w:r>
      <w:r>
        <w:rPr>
          <w:rStyle w:val="62"/>
          <w:sz w:val="21"/>
          <w:szCs w:val="21"/>
        </w:rPr>
        <w:fldChar w:fldCharType="end"/>
      </w:r>
      <w:r>
        <w:rPr>
          <w:sz w:val="21"/>
          <w:szCs w:val="21"/>
        </w:rPr>
        <w:t>).</w:t>
      </w:r>
    </w:p>
    <w:p w14:paraId="70FA88B0">
      <w:pPr>
        <w:pStyle w:val="50"/>
        <w:numPr>
          <w:ilvl w:val="1"/>
          <w:numId w:val="1"/>
        </w:numPr>
        <w:tabs>
          <w:tab w:val="left" w:pos="1134"/>
        </w:tabs>
        <w:spacing w:before="0" w:beforeAutospacing="0" w:after="0" w:afterAutospacing="0" w:line="240" w:lineRule="auto"/>
        <w:ind w:left="-87" w:leftChars="0" w:firstLine="567" w:firstLineChars="0"/>
        <w:jc w:val="both"/>
        <w:textAlignment w:val="baseline"/>
        <w:rPr>
          <w:sz w:val="21"/>
          <w:szCs w:val="21"/>
        </w:rPr>
      </w:pPr>
      <w:r>
        <w:rPr>
          <w:sz w:val="21"/>
          <w:szCs w:val="21"/>
        </w:rPr>
        <w:t xml:space="preserve">A íntegra do presente Edital e seus Anexos, bem como todos os documentos, os esclarecimentos, impugnações, atos decisórios do procedimento licitatório durante a FASE EXTERNA serão divulgados no 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sz w:val="21"/>
          <w:szCs w:val="21"/>
        </w:rPr>
        <w:t xml:space="preserve">, e no sítio internet da Câmara Municipal de Primavera do Leste - MT, disponível no endereço eletrônico: </w:t>
      </w:r>
      <w:r>
        <w:rPr>
          <w:sz w:val="21"/>
          <w:szCs w:val="21"/>
        </w:rPr>
        <w:fldChar w:fldCharType="begin"/>
      </w:r>
      <w:r>
        <w:rPr>
          <w:sz w:val="21"/>
          <w:szCs w:val="21"/>
        </w:rPr>
        <w:instrText xml:space="preserve"> HYPERLINK "https://www.primaveradoleste.mt.leg.br/" \h </w:instrText>
      </w:r>
      <w:r>
        <w:rPr>
          <w:sz w:val="21"/>
          <w:szCs w:val="21"/>
        </w:rPr>
        <w:fldChar w:fldCharType="separate"/>
      </w:r>
      <w:r>
        <w:rPr>
          <w:rStyle w:val="62"/>
          <w:sz w:val="21"/>
          <w:szCs w:val="21"/>
        </w:rPr>
        <w:t>https://www.primaveradoleste.mt.leg.br/</w:t>
      </w:r>
      <w:r>
        <w:rPr>
          <w:rStyle w:val="62"/>
          <w:sz w:val="21"/>
          <w:szCs w:val="21"/>
        </w:rPr>
        <w:fldChar w:fldCharType="end"/>
      </w:r>
      <w:r>
        <w:rPr>
          <w:sz w:val="21"/>
          <w:szCs w:val="21"/>
        </w:rPr>
        <w:t>.</w:t>
      </w:r>
    </w:p>
    <w:p w14:paraId="79B61347">
      <w:pPr>
        <w:pStyle w:val="2"/>
        <w:spacing w:before="360" w:after="0"/>
        <w:rPr>
          <w:sz w:val="21"/>
          <w:szCs w:val="21"/>
        </w:rPr>
      </w:pPr>
      <w:bookmarkStart w:id="1" w:name="_Toc149517428"/>
      <w:r>
        <w:rPr>
          <w:rStyle w:val="53"/>
          <w:sz w:val="21"/>
          <w:szCs w:val="21"/>
        </w:rPr>
        <w:t>PLATAFORMA ELETRÔNICA</w:t>
      </w:r>
      <w:bookmarkEnd w:id="1"/>
    </w:p>
    <w:p w14:paraId="2D5F3920">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sz w:val="21"/>
          <w:szCs w:val="21"/>
        </w:rPr>
        <w:t>O Pregão</w:t>
      </w:r>
      <w:r>
        <w:rPr>
          <w:rStyle w:val="53"/>
          <w:color w:val="000000"/>
          <w:sz w:val="21"/>
          <w:szCs w:val="21"/>
        </w:rPr>
        <w:t>, em sua forma eletrônica (</w:t>
      </w:r>
      <w:r>
        <w:rPr>
          <w:sz w:val="21"/>
          <w:szCs w:val="21"/>
        </w:rPr>
        <w:fldChar w:fldCharType="begin"/>
      </w:r>
      <w:r>
        <w:rPr>
          <w:rStyle w:val="62"/>
          <w:sz w:val="21"/>
          <w:szCs w:val="21"/>
        </w:rPr>
        <w:instrText xml:space="preserve"> HYPERLINK "http://www.planalto.gov.br/ccivil_03/_ato2019-2022/2021/lei/L14133.htm" \l "art17"</w:instrText>
      </w:r>
      <w:r>
        <w:rPr>
          <w:rStyle w:val="62"/>
          <w:sz w:val="21"/>
          <w:szCs w:val="21"/>
        </w:rPr>
        <w:fldChar w:fldCharType="separate"/>
      </w:r>
      <w:r>
        <w:rPr>
          <w:rStyle w:val="62"/>
          <w:sz w:val="21"/>
          <w:szCs w:val="21"/>
        </w:rPr>
        <w:t>art. 17, § 2º, da Lei Federal nº 14.133, de 2021</w:t>
      </w:r>
      <w:r>
        <w:rPr>
          <w:rStyle w:val="62"/>
          <w:sz w:val="21"/>
          <w:szCs w:val="21"/>
        </w:rPr>
        <w:fldChar w:fldCharType="end"/>
      </w:r>
      <w:r>
        <w:rPr>
          <w:rStyle w:val="53"/>
          <w:color w:val="000000"/>
          <w:sz w:val="21"/>
          <w:szCs w:val="21"/>
        </w:rPr>
        <w:t>)</w:t>
      </w:r>
      <w:r>
        <w:rPr>
          <w:sz w:val="21"/>
          <w:szCs w:val="21"/>
        </w:rPr>
        <w:t xml:space="preserve">, será realizada em sessão pública, por intermédio da INTERNET (rede mundial de computadores), mediante condições de segurança, criptografia e autenticação em todas as suas fases no 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sz w:val="21"/>
          <w:szCs w:val="21"/>
        </w:rPr>
        <w:t>.</w:t>
      </w:r>
    </w:p>
    <w:p w14:paraId="24D7D0ED">
      <w:pPr>
        <w:pStyle w:val="2"/>
        <w:spacing w:before="360" w:after="0"/>
        <w:rPr>
          <w:sz w:val="21"/>
          <w:szCs w:val="21"/>
        </w:rPr>
      </w:pPr>
      <w:bookmarkStart w:id="2" w:name="_DATA_E_HORÁRIO"/>
      <w:bookmarkEnd w:id="2"/>
      <w:bookmarkStart w:id="3" w:name="_Toc149517429"/>
      <w:r>
        <w:rPr>
          <w:rStyle w:val="53"/>
          <w:sz w:val="21"/>
          <w:szCs w:val="21"/>
        </w:rPr>
        <w:t>DATA E HORÁRIO</w:t>
      </w:r>
      <w:bookmarkEnd w:id="3"/>
    </w:p>
    <w:p w14:paraId="1CD532B7">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sz w:val="21"/>
          <w:szCs w:val="21"/>
        </w:rPr>
        <w:t>A(s) proposta(s) de preços e os documentos de habilitação deverão ser cadastrados no Portal Licitanet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sz w:val="21"/>
          <w:szCs w:val="21"/>
        </w:rPr>
        <w:t>)</w:t>
      </w:r>
      <w:r>
        <w:rPr>
          <w:sz w:val="21"/>
          <w:szCs w:val="21"/>
          <w:highlight w:val="none"/>
        </w:rPr>
        <w:t xml:space="preserve"> até às</w:t>
      </w:r>
      <w:r>
        <w:rPr>
          <w:rFonts w:hint="default"/>
          <w:sz w:val="21"/>
          <w:szCs w:val="21"/>
          <w:highlight w:val="none"/>
          <w:lang w:val="pt-BR"/>
        </w:rPr>
        <w:t xml:space="preserve"> 09:00</w:t>
      </w:r>
      <w:r>
        <w:rPr>
          <w:sz w:val="21"/>
          <w:szCs w:val="21"/>
          <w:highlight w:val="none"/>
        </w:rPr>
        <w:t xml:space="preserve"> horas (horário oficial de Brasília/DF) do dia </w:t>
      </w:r>
      <w:r>
        <w:rPr>
          <w:rFonts w:hint="default"/>
          <w:sz w:val="21"/>
          <w:szCs w:val="21"/>
          <w:highlight w:val="none"/>
          <w:lang w:val="pt-BR"/>
        </w:rPr>
        <w:t>09</w:t>
      </w:r>
      <w:r>
        <w:rPr>
          <w:sz w:val="21"/>
          <w:szCs w:val="21"/>
          <w:highlight w:val="none"/>
        </w:rPr>
        <w:t xml:space="preserve"> de </w:t>
      </w:r>
      <w:r>
        <w:rPr>
          <w:rFonts w:hint="default"/>
          <w:sz w:val="21"/>
          <w:szCs w:val="21"/>
          <w:highlight w:val="none"/>
          <w:lang w:val="pt-BR"/>
        </w:rPr>
        <w:t xml:space="preserve">agosto </w:t>
      </w:r>
      <w:r>
        <w:rPr>
          <w:sz w:val="21"/>
          <w:szCs w:val="21"/>
          <w:highlight w:val="none"/>
        </w:rPr>
        <w:t>de 2024 (</w:t>
      </w:r>
      <w:r>
        <w:rPr>
          <w:rFonts w:hint="default"/>
          <w:sz w:val="21"/>
          <w:szCs w:val="21"/>
          <w:highlight w:val="none"/>
          <w:lang w:val="pt-BR"/>
        </w:rPr>
        <w:t xml:space="preserve">sexta </w:t>
      </w:r>
      <w:r>
        <w:rPr>
          <w:sz w:val="21"/>
          <w:szCs w:val="21"/>
          <w:highlight w:val="none"/>
        </w:rPr>
        <w:t>-</w:t>
      </w:r>
      <w:r>
        <w:rPr>
          <w:rFonts w:hint="default"/>
          <w:sz w:val="21"/>
          <w:szCs w:val="21"/>
          <w:highlight w:val="none"/>
          <w:lang w:val="pt-BR"/>
        </w:rPr>
        <w:t xml:space="preserve"> </w:t>
      </w:r>
      <w:r>
        <w:rPr>
          <w:sz w:val="21"/>
          <w:szCs w:val="21"/>
          <w:highlight w:val="none"/>
        </w:rPr>
        <w:t>feira), quando se dará a abertura da sessão pública.</w:t>
      </w:r>
    </w:p>
    <w:p w14:paraId="57F0F20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 Pregoeiro em contrário.</w:t>
      </w:r>
    </w:p>
    <w:p w14:paraId="750FBEF7">
      <w:pPr>
        <w:pStyle w:val="2"/>
        <w:spacing w:before="360" w:after="0"/>
        <w:rPr>
          <w:sz w:val="21"/>
          <w:szCs w:val="21"/>
        </w:rPr>
      </w:pPr>
      <w:bookmarkStart w:id="4" w:name="_Toc149517430"/>
      <w:r>
        <w:rPr>
          <w:rStyle w:val="53"/>
          <w:sz w:val="21"/>
          <w:szCs w:val="21"/>
        </w:rPr>
        <w:t>AGENTE DE CONTRAÇÃO</w:t>
      </w:r>
      <w:bookmarkEnd w:id="4"/>
    </w:p>
    <w:p w14:paraId="59BB7E89">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sz w:val="21"/>
          <w:szCs w:val="21"/>
        </w:rPr>
        <w:t xml:space="preserve">Os trabalhos do certame licitatório serão conduzidos pelo  servidor </w:t>
      </w:r>
      <w:r>
        <w:rPr>
          <w:rStyle w:val="53"/>
          <w:b/>
          <w:bCs/>
          <w:color w:val="000000" w:themeColor="text1"/>
          <w:sz w:val="21"/>
          <w:szCs w:val="21"/>
          <w:shd w:val="clear" w:fill="auto"/>
          <w14:textFill>
            <w14:solidFill>
              <w14:schemeClr w14:val="tx1"/>
            </w14:solidFill>
          </w14:textFill>
        </w:rPr>
        <w:t>Wender de Souza Barros</w:t>
      </w:r>
      <w:r>
        <w:rPr>
          <w:b/>
          <w:bCs/>
          <w:sz w:val="21"/>
          <w:szCs w:val="21"/>
          <w:shd w:val="clear" w:fill="auto"/>
        </w:rPr>
        <w:t>,</w:t>
      </w:r>
      <w:r>
        <w:rPr>
          <w:sz w:val="21"/>
          <w:szCs w:val="21"/>
        </w:rPr>
        <w:t xml:space="preserve"> designado Pregoeiro (</w:t>
      </w:r>
      <w:r>
        <w:rPr>
          <w:sz w:val="21"/>
          <w:szCs w:val="21"/>
        </w:rPr>
        <w:fldChar w:fldCharType="begin"/>
      </w:r>
      <w:r>
        <w:rPr>
          <w:rStyle w:val="62"/>
          <w:sz w:val="21"/>
          <w:szCs w:val="21"/>
        </w:rPr>
        <w:instrText xml:space="preserve"> HYPERLINK "https://www.planalto.gov.br/ccivil_03/_ato2019-2022/2021/lei/l14133.htm" \l "art8"</w:instrText>
      </w:r>
      <w:r>
        <w:rPr>
          <w:rStyle w:val="62"/>
          <w:sz w:val="21"/>
          <w:szCs w:val="21"/>
        </w:rPr>
        <w:fldChar w:fldCharType="separate"/>
      </w:r>
      <w:r>
        <w:rPr>
          <w:rStyle w:val="62"/>
          <w:sz w:val="21"/>
          <w:szCs w:val="21"/>
        </w:rPr>
        <w:t>art. 8º da Lei Federal nº 14.133, de 2021</w:t>
      </w:r>
      <w:r>
        <w:rPr>
          <w:rStyle w:val="62"/>
          <w:sz w:val="21"/>
          <w:szCs w:val="21"/>
        </w:rPr>
        <w:fldChar w:fldCharType="end"/>
      </w:r>
      <w:r>
        <w:rPr>
          <w:sz w:val="21"/>
          <w:szCs w:val="21"/>
        </w:rPr>
        <w:t>) por intermédio da Portaria nº 0</w:t>
      </w:r>
      <w:r>
        <w:rPr>
          <w:rFonts w:hint="default"/>
          <w:sz w:val="21"/>
          <w:szCs w:val="21"/>
          <w:lang w:val="pt-BR"/>
        </w:rPr>
        <w:t>85</w:t>
      </w:r>
      <w:r>
        <w:rPr>
          <w:sz w:val="21"/>
          <w:szCs w:val="21"/>
        </w:rPr>
        <w:t xml:space="preserve"> de 2024, e que nesta licitação será denominado(a) PREGOEIRO (</w:t>
      </w:r>
      <w:r>
        <w:rPr>
          <w:sz w:val="21"/>
          <w:szCs w:val="21"/>
        </w:rPr>
        <w:fldChar w:fldCharType="begin"/>
      </w:r>
      <w:r>
        <w:rPr>
          <w:rStyle w:val="62"/>
          <w:sz w:val="21"/>
          <w:szCs w:val="21"/>
        </w:rPr>
        <w:instrText xml:space="preserve"> HYPERLINK "https://www.planalto.gov.br/ccivil_03/_ato2019-2022/2021/lei/l14133.htm" \l "art8"</w:instrText>
      </w:r>
      <w:r>
        <w:rPr>
          <w:rStyle w:val="62"/>
          <w:sz w:val="21"/>
          <w:szCs w:val="21"/>
        </w:rPr>
        <w:fldChar w:fldCharType="separate"/>
      </w:r>
      <w:r>
        <w:rPr>
          <w:rStyle w:val="62"/>
          <w:sz w:val="21"/>
          <w:szCs w:val="21"/>
        </w:rPr>
        <w:t>art. 8º, §5º, da Lei Federal nº 14.133, de 2021</w:t>
      </w:r>
      <w:r>
        <w:rPr>
          <w:rStyle w:val="62"/>
          <w:sz w:val="21"/>
          <w:szCs w:val="21"/>
        </w:rPr>
        <w:fldChar w:fldCharType="end"/>
      </w:r>
      <w:r>
        <w:rPr>
          <w:sz w:val="21"/>
          <w:szCs w:val="21"/>
        </w:rPr>
        <w:t>).</w:t>
      </w:r>
    </w:p>
    <w:p w14:paraId="24064E64">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O(A) Pregoeiro será auxiliada por equipe de ap</w:t>
      </w:r>
      <w:r>
        <w:rPr>
          <w:sz w:val="21"/>
          <w:szCs w:val="21"/>
          <w:shd w:val="clear" w:fill="auto"/>
        </w:rPr>
        <w:t>oio (</w:t>
      </w:r>
      <w:r>
        <w:rPr>
          <w:sz w:val="21"/>
          <w:szCs w:val="21"/>
        </w:rPr>
        <w:fldChar w:fldCharType="begin"/>
      </w:r>
      <w:r>
        <w:rPr>
          <w:rStyle w:val="62"/>
          <w:sz w:val="21"/>
          <w:szCs w:val="21"/>
          <w:shd w:val="clear" w:fill="auto"/>
        </w:rPr>
        <w:instrText xml:space="preserve"> HYPERLINK "https://www.planalto.gov.br/ccivil_03/_ato2019-2022/2021/lei/l14133.htm" \l "art8"</w:instrText>
      </w:r>
      <w:r>
        <w:rPr>
          <w:rStyle w:val="62"/>
          <w:sz w:val="21"/>
          <w:szCs w:val="21"/>
          <w:shd w:val="clear" w:fill="auto"/>
        </w:rPr>
        <w:fldChar w:fldCharType="separate"/>
      </w:r>
      <w:r>
        <w:rPr>
          <w:rStyle w:val="62"/>
          <w:sz w:val="21"/>
          <w:szCs w:val="21"/>
          <w:shd w:val="clear" w:fill="auto"/>
        </w:rPr>
        <w:t>art. 8º, §1º, da Lei Federal nº 14.133, de 2021</w:t>
      </w:r>
      <w:r>
        <w:rPr>
          <w:rStyle w:val="62"/>
          <w:sz w:val="21"/>
          <w:szCs w:val="21"/>
          <w:shd w:val="clear" w:fill="auto"/>
        </w:rPr>
        <w:fldChar w:fldCharType="end"/>
      </w:r>
      <w:r>
        <w:rPr>
          <w:sz w:val="21"/>
          <w:szCs w:val="21"/>
          <w:shd w:val="clear" w:fill="auto"/>
        </w:rPr>
        <w:t>) designada pela Portaria nº 0</w:t>
      </w:r>
      <w:r>
        <w:rPr>
          <w:rFonts w:hint="default"/>
          <w:sz w:val="21"/>
          <w:szCs w:val="21"/>
          <w:shd w:val="clear" w:fill="auto"/>
          <w:lang w:val="pt-BR"/>
        </w:rPr>
        <w:t>85</w:t>
      </w:r>
      <w:r>
        <w:rPr>
          <w:sz w:val="21"/>
          <w:szCs w:val="21"/>
          <w:shd w:val="clear" w:fill="auto"/>
        </w:rPr>
        <w:t xml:space="preserve"> de 2024, </w:t>
      </w:r>
      <w:r>
        <w:rPr>
          <w:sz w:val="21"/>
          <w:szCs w:val="21"/>
        </w:rPr>
        <w:t>e responderá individualmente pelos atos que praticar.</w:t>
      </w:r>
    </w:p>
    <w:p w14:paraId="58E8B96B">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Em caso de impedimento na condução do certame licitatório, o Pregoeiro será substituído automaticamente por outro Pregoeiro designado pela Portaria nº 0</w:t>
      </w:r>
      <w:r>
        <w:rPr>
          <w:rFonts w:hint="default"/>
          <w:sz w:val="21"/>
          <w:szCs w:val="21"/>
          <w:lang w:val="pt-BR"/>
        </w:rPr>
        <w:t>85</w:t>
      </w:r>
      <w:r>
        <w:rPr>
          <w:sz w:val="21"/>
          <w:szCs w:val="21"/>
        </w:rPr>
        <w:t>, de 2024, seguindo a ordem de substituição definida na referida portaria.</w:t>
      </w:r>
    </w:p>
    <w:p w14:paraId="721613B8">
      <w:pPr>
        <w:pStyle w:val="2"/>
        <w:spacing w:before="360" w:after="0"/>
        <w:rPr>
          <w:sz w:val="21"/>
          <w:szCs w:val="21"/>
        </w:rPr>
      </w:pPr>
      <w:bookmarkStart w:id="5" w:name="_Toc149517431"/>
      <w:r>
        <w:rPr>
          <w:rStyle w:val="53"/>
          <w:sz w:val="21"/>
          <w:szCs w:val="21"/>
        </w:rPr>
        <w:t>OBJETO</w:t>
      </w:r>
      <w:bookmarkEnd w:id="5"/>
      <w:r>
        <w:rPr>
          <w:rStyle w:val="53"/>
          <w:sz w:val="21"/>
          <w:szCs w:val="21"/>
        </w:rPr>
        <w:t> </w:t>
      </w:r>
    </w:p>
    <w:p w14:paraId="1583DD30">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rStyle w:val="53"/>
          <w:color w:val="000000"/>
          <w:sz w:val="21"/>
          <w:szCs w:val="21"/>
        </w:rPr>
        <w:t xml:space="preserve">A presente licitação, </w:t>
      </w:r>
      <w:r>
        <w:rPr>
          <w:rStyle w:val="53"/>
          <w:rFonts w:hint="default"/>
          <w:color w:val="000000"/>
          <w:sz w:val="21"/>
          <w:szCs w:val="21"/>
          <w:lang w:val="pt-BR"/>
        </w:rPr>
        <w:t>de menor preço por lote</w:t>
      </w:r>
      <w:r>
        <w:rPr>
          <w:rStyle w:val="53"/>
          <w:color w:val="000000"/>
          <w:sz w:val="21"/>
          <w:szCs w:val="21"/>
        </w:rPr>
        <w:t xml:space="preserve">, tem por objeto </w:t>
      </w:r>
      <w:r>
        <w:rPr>
          <w:rStyle w:val="53"/>
          <w:rFonts w:hint="default"/>
          <w:color w:val="000000"/>
          <w:sz w:val="21"/>
          <w:szCs w:val="21"/>
          <w:lang w:val="pt-BR"/>
        </w:rPr>
        <w:t xml:space="preserve">o </w:t>
      </w:r>
      <w:r>
        <w:rPr>
          <w:rStyle w:val="53"/>
          <w:rFonts w:hint="default"/>
          <w:b/>
          <w:bCs/>
          <w:color w:val="000000" w:themeColor="text1"/>
          <w:kern w:val="0"/>
          <w:sz w:val="22"/>
          <w:szCs w:val="22"/>
          <w:lang w:val="pt-BR"/>
          <w14:textFill>
            <w14:solidFill>
              <w14:schemeClr w14:val="tx1"/>
            </w14:solidFill>
          </w14:textFill>
        </w:rPr>
        <w:t>Registro de preços para futura e eventual contratação de empresa especializada no fornecimento e instalação de telhas, calhas, rufos e cumeeiras, incluindo mão de obra, para a Câmara Municipal de Primavera do Leste -  MT</w:t>
      </w:r>
      <w:r>
        <w:rPr>
          <w:rFonts w:cs="Times New Roman"/>
          <w:b/>
          <w:bCs/>
          <w:color w:val="000000"/>
          <w:kern w:val="0"/>
          <w:sz w:val="21"/>
          <w:szCs w:val="21"/>
          <w:shd w:val="clear" w:fill="auto"/>
          <w:lang w:val="pt-BR" w:bidi="ar-SA"/>
        </w:rPr>
        <w:t xml:space="preserve">, </w:t>
      </w:r>
      <w:r>
        <w:rPr>
          <w:rStyle w:val="53"/>
          <w:color w:val="000000"/>
          <w:sz w:val="21"/>
          <w:szCs w:val="21"/>
        </w:rPr>
        <w:t>conforme especificações, condições, quantidades e prazos constantes do</w:t>
      </w:r>
      <w:r>
        <w:rPr>
          <w:rStyle w:val="53"/>
          <w:b/>
          <w:bCs/>
          <w:color w:val="000000"/>
          <w:sz w:val="21"/>
          <w:szCs w:val="21"/>
        </w:rPr>
        <w:t xml:space="preserve"> </w:t>
      </w:r>
      <w:r>
        <w:rPr>
          <w:sz w:val="21"/>
          <w:szCs w:val="21"/>
        </w:rPr>
        <w:fldChar w:fldCharType="begin"/>
      </w:r>
      <w:r>
        <w:rPr>
          <w:sz w:val="21"/>
          <w:szCs w:val="21"/>
        </w:rPr>
        <w:instrText xml:space="preserve"> HYPERLINK \l "_ANEXO_I_-_1" \h </w:instrText>
      </w:r>
      <w:r>
        <w:rPr>
          <w:sz w:val="21"/>
          <w:szCs w:val="21"/>
        </w:rPr>
        <w:fldChar w:fldCharType="separate"/>
      </w:r>
      <w:r>
        <w:rPr>
          <w:rStyle w:val="62"/>
          <w:b/>
          <w:bCs/>
          <w:sz w:val="21"/>
          <w:szCs w:val="21"/>
        </w:rPr>
        <w:t>Termo de Referência - Anexo I deste Edital</w:t>
      </w:r>
      <w:r>
        <w:rPr>
          <w:rStyle w:val="62"/>
          <w:b/>
          <w:bCs/>
          <w:sz w:val="21"/>
          <w:szCs w:val="21"/>
        </w:rPr>
        <w:fldChar w:fldCharType="end"/>
      </w:r>
      <w:r>
        <w:rPr>
          <w:rStyle w:val="53"/>
          <w:b/>
          <w:bCs/>
          <w:color w:val="000000"/>
          <w:sz w:val="21"/>
          <w:szCs w:val="21"/>
        </w:rPr>
        <w:t>.</w:t>
      </w:r>
    </w:p>
    <w:p w14:paraId="7CF512C4">
      <w:pPr>
        <w:pStyle w:val="50"/>
        <w:numPr>
          <w:ilvl w:val="0"/>
          <w:numId w:val="0"/>
        </w:numPr>
        <w:tabs>
          <w:tab w:val="left" w:pos="1134"/>
        </w:tabs>
        <w:spacing w:before="120" w:beforeAutospacing="0" w:after="0" w:afterAutospacing="0"/>
        <w:ind w:left="567" w:leftChars="0"/>
        <w:jc w:val="both"/>
        <w:textAlignment w:val="baseline"/>
        <w:rPr>
          <w:sz w:val="21"/>
          <w:szCs w:val="21"/>
        </w:rPr>
      </w:pPr>
    </w:p>
    <w:p w14:paraId="4153969D">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Fazem parte do presente Edital os anexos abaixo relacionados: </w:t>
      </w:r>
    </w:p>
    <w:p w14:paraId="14A4C4F1">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Anexo I - Termo de Referência;</w:t>
      </w:r>
    </w:p>
    <w:p w14:paraId="7D3A3737">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Anexo II - Modelo de Declarações;</w:t>
      </w:r>
    </w:p>
    <w:p w14:paraId="2E2C7F6A">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Anexo III - Modelo de Proposta;</w:t>
      </w:r>
    </w:p>
    <w:p w14:paraId="2767DF7B">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Anexo IV - Minuta da Ata de Registro de Preços;</w:t>
      </w:r>
    </w:p>
    <w:p w14:paraId="4D1A10A1">
      <w:pPr>
        <w:pStyle w:val="50"/>
        <w:numPr>
          <w:ilvl w:val="2"/>
          <w:numId w:val="1"/>
        </w:numPr>
        <w:tabs>
          <w:tab w:val="left" w:pos="1134"/>
        </w:tabs>
        <w:spacing w:before="0" w:beforeAutospacing="0" w:after="0" w:afterAutospacing="0"/>
        <w:jc w:val="both"/>
        <w:textAlignment w:val="baseline"/>
        <w:rPr>
          <w:rStyle w:val="53"/>
          <w:color w:val="000000"/>
          <w:sz w:val="21"/>
          <w:szCs w:val="21"/>
        </w:rPr>
      </w:pPr>
      <w:r>
        <w:rPr>
          <w:rStyle w:val="53"/>
          <w:color w:val="000000"/>
          <w:sz w:val="21"/>
          <w:szCs w:val="21"/>
        </w:rPr>
        <w:t>Anexo V - Minuta do Instrumento de Contrato.</w:t>
      </w:r>
    </w:p>
    <w:p w14:paraId="6C7CBF3A">
      <w:pPr>
        <w:pStyle w:val="2"/>
        <w:spacing w:before="360" w:after="0"/>
        <w:rPr>
          <w:sz w:val="21"/>
          <w:szCs w:val="21"/>
        </w:rPr>
      </w:pPr>
      <w:bookmarkStart w:id="6" w:name="_Toc149517432"/>
      <w:r>
        <w:rPr>
          <w:rStyle w:val="53"/>
          <w:sz w:val="21"/>
          <w:szCs w:val="21"/>
        </w:rPr>
        <w:t>CONDIÇÕES PARA PARTICIPAÇÃO</w:t>
      </w:r>
      <w:bookmarkEnd w:id="6"/>
      <w:r>
        <w:rPr>
          <w:rStyle w:val="53"/>
          <w:sz w:val="21"/>
          <w:szCs w:val="21"/>
        </w:rPr>
        <w:t> </w:t>
      </w:r>
    </w:p>
    <w:p w14:paraId="20BFABC3">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rStyle w:val="53"/>
          <w:color w:val="000000"/>
          <w:sz w:val="21"/>
          <w:szCs w:val="21"/>
        </w:rPr>
        <w:t xml:space="preserve">Para </w:t>
      </w:r>
      <w:r>
        <w:rPr>
          <w:sz w:val="21"/>
          <w:szCs w:val="21"/>
        </w:rPr>
        <w:t>participar</w:t>
      </w:r>
      <w:r>
        <w:rPr>
          <w:rStyle w:val="53"/>
          <w:color w:val="000000"/>
          <w:sz w:val="21"/>
          <w:szCs w:val="21"/>
        </w:rPr>
        <w:t xml:space="preserve"> deste Pregão, em sua forma eletrônica (</w:t>
      </w:r>
      <w:r>
        <w:rPr>
          <w:sz w:val="21"/>
          <w:szCs w:val="21"/>
        </w:rPr>
        <w:fldChar w:fldCharType="begin"/>
      </w:r>
      <w:r>
        <w:rPr>
          <w:rStyle w:val="62"/>
          <w:sz w:val="21"/>
          <w:szCs w:val="21"/>
        </w:rPr>
        <w:instrText xml:space="preserve"> HYPERLINK "https://www.planalto.gov.br/ccivil_03/_ato2019-2022/2021/lei/l14133.htm" \l "art17"</w:instrText>
      </w:r>
      <w:r>
        <w:rPr>
          <w:rStyle w:val="62"/>
          <w:sz w:val="21"/>
          <w:szCs w:val="21"/>
        </w:rPr>
        <w:fldChar w:fldCharType="separate"/>
      </w:r>
      <w:r>
        <w:rPr>
          <w:rStyle w:val="62"/>
          <w:sz w:val="21"/>
          <w:szCs w:val="21"/>
        </w:rPr>
        <w:t>art. 17, § 2º, da Lei Federal nº 14.133, de 2021</w:t>
      </w:r>
      <w:r>
        <w:rPr>
          <w:rStyle w:val="62"/>
          <w:sz w:val="21"/>
          <w:szCs w:val="21"/>
        </w:rPr>
        <w:fldChar w:fldCharType="end"/>
      </w:r>
      <w:r>
        <w:rPr>
          <w:rStyle w:val="53"/>
          <w:color w:val="000000"/>
          <w:sz w:val="21"/>
          <w:szCs w:val="21"/>
        </w:rPr>
        <w:t>), a licitante deverá preencher os seguintes requisitos:</w:t>
      </w:r>
      <w:r>
        <w:rPr>
          <w:rStyle w:val="55"/>
          <w:color w:val="000000"/>
          <w:sz w:val="21"/>
          <w:szCs w:val="21"/>
        </w:rPr>
        <w:t xml:space="preserve"> </w:t>
      </w:r>
    </w:p>
    <w:p w14:paraId="100FC32E">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Pessoa jurídica cujo ramo de atividade seja compatível com o objeto desta licitação;</w:t>
      </w:r>
    </w:p>
    <w:p w14:paraId="491B52DE">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 xml:space="preserve">Ser credenciada junto ao </w:t>
      </w:r>
      <w:r>
        <w:rPr>
          <w:sz w:val="21"/>
          <w:szCs w:val="21"/>
        </w:rPr>
        <w:t xml:space="preserve">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rStyle w:val="53"/>
          <w:color w:val="000000"/>
          <w:sz w:val="21"/>
          <w:szCs w:val="21"/>
        </w:rPr>
        <w:t>, que atuará como órgão provedor do sistema eletrônico;</w:t>
      </w:r>
    </w:p>
    <w:p w14:paraId="4D3A2BA6">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Enviar em campo próprio do sistema eletrônico a</w:t>
      </w:r>
      <w:r>
        <w:rPr>
          <w:rStyle w:val="53"/>
          <w:sz w:val="21"/>
          <w:szCs w:val="21"/>
        </w:rPr>
        <w:t>s</w:t>
      </w:r>
      <w:r>
        <w:rPr>
          <w:rStyle w:val="53"/>
          <w:color w:val="000000"/>
          <w:sz w:val="21"/>
          <w:szCs w:val="21"/>
        </w:rPr>
        <w:t xml:space="preserve"> seguintes declarações virtuais de que:</w:t>
      </w:r>
    </w:p>
    <w:p w14:paraId="2AAE861F">
      <w:pPr>
        <w:pStyle w:val="50"/>
        <w:numPr>
          <w:ilvl w:val="3"/>
          <w:numId w:val="1"/>
        </w:numPr>
        <w:tabs>
          <w:tab w:val="left" w:pos="1134"/>
        </w:tabs>
        <w:spacing w:before="0" w:beforeAutospacing="0" w:after="0" w:afterAutospacing="0"/>
        <w:jc w:val="both"/>
        <w:textAlignment w:val="baseline"/>
        <w:rPr>
          <w:sz w:val="21"/>
          <w:szCs w:val="21"/>
        </w:rPr>
      </w:pPr>
      <w:r>
        <w:rPr>
          <w:rStyle w:val="53"/>
          <w:color w:val="000000"/>
          <w:sz w:val="21"/>
          <w:szCs w:val="21"/>
        </w:rPr>
        <w:t>cumpre plenamente os requisitos de habilitação e que sua proposta está em conformidade com as exigências do instrumento convocatório; (</w:t>
      </w:r>
      <w:r>
        <w:rPr>
          <w:sz w:val="21"/>
          <w:szCs w:val="21"/>
        </w:rPr>
        <w:fldChar w:fldCharType="begin"/>
      </w:r>
      <w:r>
        <w:rPr>
          <w:rStyle w:val="62"/>
          <w:sz w:val="21"/>
          <w:szCs w:val="21"/>
        </w:rPr>
        <w:instrText xml:space="preserve"> HYPERLINK "https://www.planalto.gov.br/ccivil_03/_ato2019-2022/2021/lei/l14133.htm" \l "art63"</w:instrText>
      </w:r>
      <w:r>
        <w:rPr>
          <w:rStyle w:val="62"/>
          <w:sz w:val="21"/>
          <w:szCs w:val="21"/>
        </w:rPr>
        <w:fldChar w:fldCharType="separate"/>
      </w:r>
      <w:r>
        <w:rPr>
          <w:rStyle w:val="62"/>
          <w:sz w:val="21"/>
          <w:szCs w:val="21"/>
        </w:rPr>
        <w:t>art. 63, I, da Lei Federal nº 14.133, de 2021</w:t>
      </w:r>
      <w:r>
        <w:rPr>
          <w:rStyle w:val="62"/>
          <w:sz w:val="21"/>
          <w:szCs w:val="21"/>
        </w:rPr>
        <w:fldChar w:fldCharType="end"/>
      </w:r>
      <w:r>
        <w:rPr>
          <w:rStyle w:val="53"/>
          <w:color w:val="000000"/>
          <w:sz w:val="21"/>
          <w:szCs w:val="21"/>
        </w:rPr>
        <w:t>).</w:t>
      </w:r>
    </w:p>
    <w:p w14:paraId="0BAB5B99">
      <w:pPr>
        <w:pStyle w:val="50"/>
        <w:numPr>
          <w:ilvl w:val="3"/>
          <w:numId w:val="1"/>
        </w:numPr>
        <w:tabs>
          <w:tab w:val="left" w:pos="1134"/>
        </w:tabs>
        <w:spacing w:before="0" w:beforeAutospacing="0" w:after="0" w:afterAutospacing="0"/>
        <w:jc w:val="both"/>
        <w:textAlignment w:val="baseline"/>
        <w:rPr>
          <w:sz w:val="21"/>
          <w:szCs w:val="21"/>
        </w:rPr>
      </w:pPr>
      <w:r>
        <w:rPr>
          <w:rStyle w:val="53"/>
          <w:color w:val="000000"/>
          <w:sz w:val="21"/>
          <w:szCs w:val="21"/>
        </w:rPr>
        <w:t xml:space="preserve">atende aos requisitos do </w:t>
      </w:r>
      <w:r>
        <w:rPr>
          <w:sz w:val="21"/>
          <w:szCs w:val="21"/>
        </w:rPr>
        <w:fldChar w:fldCharType="begin"/>
      </w:r>
      <w:r>
        <w:rPr>
          <w:rStyle w:val="62"/>
          <w:sz w:val="21"/>
          <w:szCs w:val="21"/>
        </w:rPr>
        <w:instrText xml:space="preserve"> HYPERLINK "https://www.planalto.gov.br/ccivil_03/_ato2019-2022/2021/lei/l14133.htm" \l "art4"</w:instrText>
      </w:r>
      <w:r>
        <w:rPr>
          <w:rStyle w:val="62"/>
          <w:sz w:val="21"/>
          <w:szCs w:val="21"/>
        </w:rPr>
        <w:fldChar w:fldCharType="separate"/>
      </w:r>
      <w:r>
        <w:rPr>
          <w:rStyle w:val="62"/>
          <w:sz w:val="21"/>
          <w:szCs w:val="21"/>
        </w:rPr>
        <w:t>art. 4º, §§2º e 3º, da Lei Federal nº 14.133, de 2021</w:t>
      </w:r>
      <w:r>
        <w:rPr>
          <w:rStyle w:val="62"/>
          <w:sz w:val="21"/>
          <w:szCs w:val="21"/>
        </w:rPr>
        <w:fldChar w:fldCharType="end"/>
      </w:r>
      <w:r>
        <w:rPr>
          <w:rStyle w:val="53"/>
          <w:color w:val="000000"/>
          <w:sz w:val="21"/>
          <w:szCs w:val="21"/>
        </w:rPr>
        <w:t xml:space="preserve"> para fazer jus aos benefícios previstos nos </w:t>
      </w:r>
      <w:r>
        <w:rPr>
          <w:sz w:val="21"/>
          <w:szCs w:val="21"/>
        </w:rPr>
        <w:fldChar w:fldCharType="begin"/>
      </w:r>
      <w:r>
        <w:rPr>
          <w:rStyle w:val="62"/>
          <w:sz w:val="21"/>
          <w:szCs w:val="21"/>
        </w:rPr>
        <w:instrText xml:space="preserve"> HYPERLINK "https://www.planalto.gov.br/ccivil_03/leis/lcp/lcp123.htm" \l "art42"</w:instrText>
      </w:r>
      <w:r>
        <w:rPr>
          <w:rStyle w:val="62"/>
          <w:sz w:val="21"/>
          <w:szCs w:val="21"/>
        </w:rPr>
        <w:fldChar w:fldCharType="separate"/>
      </w:r>
      <w:r>
        <w:rPr>
          <w:rStyle w:val="62"/>
          <w:sz w:val="21"/>
          <w:szCs w:val="21"/>
        </w:rPr>
        <w:t>arts. 42 a 49 da Lei Complementar Federal nº 123, de 2006</w:t>
      </w:r>
      <w:r>
        <w:rPr>
          <w:rStyle w:val="62"/>
          <w:sz w:val="21"/>
          <w:szCs w:val="21"/>
        </w:rPr>
        <w:fldChar w:fldCharType="end"/>
      </w:r>
      <w:r>
        <w:rPr>
          <w:rStyle w:val="53"/>
          <w:color w:val="000000"/>
          <w:sz w:val="21"/>
          <w:szCs w:val="21"/>
        </w:rPr>
        <w:t>; (</w:t>
      </w:r>
      <w:r>
        <w:rPr>
          <w:sz w:val="21"/>
          <w:szCs w:val="21"/>
        </w:rPr>
        <w:fldChar w:fldCharType="begin"/>
      </w:r>
      <w:r>
        <w:rPr>
          <w:rStyle w:val="62"/>
          <w:sz w:val="21"/>
          <w:szCs w:val="21"/>
        </w:rPr>
        <w:instrText xml:space="preserve"> HYPERLINK "https://www.planalto.gov.br/ccivil_03/_ato2019-2022/2021/lei/l14133.htm" \l "art4"</w:instrText>
      </w:r>
      <w:r>
        <w:rPr>
          <w:rStyle w:val="62"/>
          <w:sz w:val="21"/>
          <w:szCs w:val="21"/>
        </w:rPr>
        <w:fldChar w:fldCharType="separate"/>
      </w:r>
      <w:r>
        <w:rPr>
          <w:rStyle w:val="62"/>
          <w:sz w:val="21"/>
          <w:szCs w:val="21"/>
        </w:rPr>
        <w:t>art. 4º, §§2º e 3º da Lei Federal nº 14.133, de 2021</w:t>
      </w:r>
      <w:r>
        <w:rPr>
          <w:rStyle w:val="62"/>
          <w:sz w:val="21"/>
          <w:szCs w:val="21"/>
        </w:rPr>
        <w:fldChar w:fldCharType="end"/>
      </w:r>
      <w:r>
        <w:rPr>
          <w:rStyle w:val="53"/>
          <w:color w:val="000000"/>
          <w:sz w:val="21"/>
          <w:szCs w:val="21"/>
        </w:rPr>
        <w:t>)</w:t>
      </w:r>
    </w:p>
    <w:p w14:paraId="232E562C">
      <w:pPr>
        <w:pStyle w:val="50"/>
        <w:numPr>
          <w:ilvl w:val="3"/>
          <w:numId w:val="1"/>
        </w:numPr>
        <w:tabs>
          <w:tab w:val="left" w:pos="1134"/>
        </w:tabs>
        <w:spacing w:before="0" w:beforeAutospacing="0" w:after="0" w:afterAutospacing="0"/>
        <w:jc w:val="both"/>
        <w:textAlignment w:val="baseline"/>
        <w:rPr>
          <w:sz w:val="21"/>
          <w:szCs w:val="21"/>
        </w:rPr>
      </w:pPr>
      <w:r>
        <w:rPr>
          <w:rStyle w:val="53"/>
          <w:sz w:val="21"/>
          <w:szCs w:val="21"/>
        </w:rPr>
        <w:t xml:space="preserve">cumpre as exigências de reserva de cargos para pessoa com deficiência e para reabilitado da Previdência Social, previstas no </w:t>
      </w:r>
      <w:r>
        <w:rPr>
          <w:sz w:val="21"/>
          <w:szCs w:val="21"/>
        </w:rPr>
        <w:fldChar w:fldCharType="begin"/>
      </w:r>
      <w:r>
        <w:rPr>
          <w:rStyle w:val="62"/>
          <w:sz w:val="21"/>
          <w:szCs w:val="21"/>
        </w:rPr>
        <w:instrText xml:space="preserve"> HYPERLINK "https://www.planalto.gov.br/ccivil_03/leis/l8213cons.htm" \l "art93"</w:instrText>
      </w:r>
      <w:r>
        <w:rPr>
          <w:rStyle w:val="62"/>
          <w:sz w:val="21"/>
          <w:szCs w:val="21"/>
        </w:rPr>
        <w:fldChar w:fldCharType="separate"/>
      </w:r>
      <w:r>
        <w:rPr>
          <w:rStyle w:val="62"/>
          <w:sz w:val="21"/>
          <w:szCs w:val="21"/>
        </w:rPr>
        <w:t>art. 93 da Lei Federal nº 8.213, de 1991</w:t>
      </w:r>
      <w:r>
        <w:rPr>
          <w:rStyle w:val="62"/>
          <w:sz w:val="21"/>
          <w:szCs w:val="21"/>
        </w:rPr>
        <w:fldChar w:fldCharType="end"/>
      </w:r>
      <w:r>
        <w:rPr>
          <w:rStyle w:val="53"/>
          <w:sz w:val="21"/>
          <w:szCs w:val="21"/>
        </w:rPr>
        <w:t xml:space="preserve"> e em outras normas específicas; (</w:t>
      </w:r>
      <w:r>
        <w:rPr>
          <w:sz w:val="21"/>
          <w:szCs w:val="21"/>
        </w:rPr>
        <w:fldChar w:fldCharType="begin"/>
      </w:r>
      <w:r>
        <w:rPr>
          <w:rStyle w:val="62"/>
          <w:sz w:val="21"/>
          <w:szCs w:val="21"/>
        </w:rPr>
        <w:instrText xml:space="preserve"> HYPERLINK "https://www.planalto.gov.br/ccivil_03/_ato2019-2022/2021/lei/l14133.htm" \l "art63"</w:instrText>
      </w:r>
      <w:r>
        <w:rPr>
          <w:rStyle w:val="62"/>
          <w:sz w:val="21"/>
          <w:szCs w:val="21"/>
        </w:rPr>
        <w:fldChar w:fldCharType="separate"/>
      </w:r>
      <w:r>
        <w:rPr>
          <w:rStyle w:val="62"/>
          <w:sz w:val="21"/>
          <w:szCs w:val="21"/>
        </w:rPr>
        <w:t>art. 63, IV, da Lei Federal nº 14.133, de 2021</w:t>
      </w:r>
      <w:r>
        <w:rPr>
          <w:rStyle w:val="62"/>
          <w:sz w:val="21"/>
          <w:szCs w:val="21"/>
        </w:rPr>
        <w:fldChar w:fldCharType="end"/>
      </w:r>
      <w:r>
        <w:rPr>
          <w:rStyle w:val="53"/>
          <w:sz w:val="21"/>
          <w:szCs w:val="21"/>
        </w:rPr>
        <w:t>)</w:t>
      </w:r>
    </w:p>
    <w:p w14:paraId="4CB08D48">
      <w:pPr>
        <w:pStyle w:val="50"/>
        <w:numPr>
          <w:ilvl w:val="3"/>
          <w:numId w:val="1"/>
        </w:numPr>
        <w:tabs>
          <w:tab w:val="left" w:pos="1134"/>
        </w:tabs>
        <w:spacing w:before="0" w:beforeAutospacing="0" w:after="0" w:afterAutospacing="0"/>
        <w:jc w:val="both"/>
        <w:textAlignment w:val="baseline"/>
        <w:rPr>
          <w:sz w:val="21"/>
          <w:szCs w:val="21"/>
        </w:rPr>
      </w:pPr>
      <w:r>
        <w:rPr>
          <w:rStyle w:val="53"/>
          <w:color w:val="000000"/>
          <w:sz w:val="21"/>
          <w:szCs w:val="21"/>
        </w:rPr>
        <w:t>inexiste fato impeditivo para licitar ou contratar com a União Federal.</w:t>
      </w:r>
    </w:p>
    <w:p w14:paraId="00C33517">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A declaração falsa sujeitará a licitante à inabilitação e ao enquadramento na infração prevista no </w:t>
      </w:r>
      <w:r>
        <w:rPr>
          <w:sz w:val="21"/>
          <w:szCs w:val="21"/>
        </w:rPr>
        <w:fldChar w:fldCharType="begin"/>
      </w:r>
      <w:r>
        <w:rPr>
          <w:rStyle w:val="62"/>
          <w:sz w:val="21"/>
          <w:szCs w:val="21"/>
        </w:rPr>
        <w:instrText xml:space="preserve"> HYPERLINK "https://www.planalto.gov.br/ccivil_03/_ato2019-2022/2021/lei/l14133.htm" \l "art155"</w:instrText>
      </w:r>
      <w:r>
        <w:rPr>
          <w:rStyle w:val="62"/>
          <w:sz w:val="21"/>
          <w:szCs w:val="21"/>
        </w:rPr>
        <w:fldChar w:fldCharType="separate"/>
      </w:r>
      <w:r>
        <w:rPr>
          <w:rStyle w:val="62"/>
          <w:sz w:val="21"/>
          <w:szCs w:val="21"/>
        </w:rPr>
        <w:t>art. 155, VIII, da Lei Federal nº 14.133, de 2021</w:t>
      </w:r>
      <w:r>
        <w:rPr>
          <w:rStyle w:val="62"/>
          <w:sz w:val="21"/>
          <w:szCs w:val="21"/>
        </w:rPr>
        <w:fldChar w:fldCharType="end"/>
      </w:r>
      <w:r>
        <w:rPr>
          <w:rStyle w:val="53"/>
          <w:color w:val="000000"/>
          <w:sz w:val="21"/>
          <w:szCs w:val="21"/>
        </w:rPr>
        <w:t>.</w:t>
      </w:r>
    </w:p>
    <w:p w14:paraId="0EF4DF65">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Todos os custos decorrentes da elaboração e apresentação das propostas serão de responsabilidade exclusiva do licitante, não se responsabilizando a Câmara Municipal de Primavera do Leste - MT por quaisquer custos, transações efetuadas pela licitante ou eventual desconexão do sistema.</w:t>
      </w:r>
    </w:p>
    <w:p w14:paraId="3BDD5AFC">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Não poderão participar deste Pregão:</w:t>
      </w:r>
    </w:p>
    <w:p w14:paraId="7F35CF57">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aquele que não atenda às condições deste Edital e seu(s) anexo(s);</w:t>
      </w:r>
    </w:p>
    <w:p w14:paraId="63EC1374">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pessoas físicas;</w:t>
      </w:r>
    </w:p>
    <w:p w14:paraId="693BA406">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Microempreendedores Individuais (MEI’s);</w:t>
      </w:r>
    </w:p>
    <w:p w14:paraId="0C2B1B0F">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pessoas jurídicas que não possuam Inscrição Municipal ou que não possuam autorização legal para a prestação dos serviços que são objeto do presente Pregão;</w:t>
      </w:r>
    </w:p>
    <w:p w14:paraId="71A146AB">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 xml:space="preserve">empresa que possua entre seus sócios </w:t>
      </w:r>
      <w:r>
        <w:rPr>
          <w:rStyle w:val="53"/>
          <w:sz w:val="21"/>
          <w:szCs w:val="21"/>
        </w:rPr>
        <w:t xml:space="preserve">agente público vinculado à </w:t>
      </w:r>
      <w:r>
        <w:rPr>
          <w:rStyle w:val="53"/>
          <w:color w:val="000000"/>
          <w:sz w:val="21"/>
          <w:szCs w:val="21"/>
        </w:rPr>
        <w:t>Câmara Municipal de Primavera do Leste - MT</w:t>
      </w:r>
      <w:r>
        <w:rPr>
          <w:rStyle w:val="53"/>
          <w:sz w:val="21"/>
          <w:szCs w:val="21"/>
        </w:rPr>
        <w:t>;</w:t>
      </w:r>
    </w:p>
    <w:p w14:paraId="054A53F3">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 xml:space="preserve">quem não cumprir os requisitos formais para participação neste </w:t>
      </w:r>
      <w:r>
        <w:rPr>
          <w:rStyle w:val="53"/>
          <w:color w:val="000000" w:themeColor="text1"/>
          <w:sz w:val="21"/>
          <w:szCs w:val="21"/>
          <w14:textFill>
            <w14:solidFill>
              <w14:schemeClr w14:val="tx1"/>
            </w14:solidFill>
          </w14:textFill>
        </w:rPr>
        <w:t>Pregão</w:t>
      </w:r>
      <w:r>
        <w:rPr>
          <w:rStyle w:val="53"/>
          <w:color w:val="000000"/>
          <w:sz w:val="21"/>
          <w:szCs w:val="21"/>
        </w:rPr>
        <w:t>;</w:t>
      </w:r>
    </w:p>
    <w:p w14:paraId="6C6E8B02">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agentes públicos ou terceiros que se enquadrem em situações que possam configurar conflito de interesses no exercício ou após o exercício do cargo ou emprego, nos termos da legislação que disciplina a matéria; (</w:t>
      </w:r>
      <w:r>
        <w:rPr>
          <w:sz w:val="21"/>
          <w:szCs w:val="21"/>
        </w:rPr>
        <w:fldChar w:fldCharType="begin"/>
      </w:r>
      <w:r>
        <w:rPr>
          <w:rStyle w:val="62"/>
          <w:sz w:val="21"/>
          <w:szCs w:val="21"/>
        </w:rPr>
        <w:instrText xml:space="preserve"> HYPERLINK "https://www.planalto.gov.br/ccivil_03/_ato2019-2022/2021/lei/l14133.htm" \l "art9"</w:instrText>
      </w:r>
      <w:r>
        <w:rPr>
          <w:rStyle w:val="62"/>
          <w:sz w:val="21"/>
          <w:szCs w:val="21"/>
        </w:rPr>
        <w:fldChar w:fldCharType="separate"/>
      </w:r>
      <w:r>
        <w:rPr>
          <w:rStyle w:val="62"/>
          <w:sz w:val="21"/>
          <w:szCs w:val="21"/>
        </w:rPr>
        <w:t>art. 9º, §1º, da Lei Federal nº 14.133, de 2021</w:t>
      </w:r>
      <w:r>
        <w:rPr>
          <w:rStyle w:val="62"/>
          <w:sz w:val="21"/>
          <w:szCs w:val="21"/>
        </w:rPr>
        <w:fldChar w:fldCharType="end"/>
      </w:r>
      <w:r>
        <w:rPr>
          <w:rStyle w:val="53"/>
          <w:color w:val="000000"/>
          <w:sz w:val="21"/>
          <w:szCs w:val="21"/>
        </w:rPr>
        <w:t>);</w:t>
      </w:r>
    </w:p>
    <w:p w14:paraId="48AF0CFC">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terceiro que auxilie a condução da contratação na qualidade de integrante de equipe de apoio, profissional especializado ou funcionário ou representante de empresa que preste assessoria técnica; (</w:t>
      </w:r>
      <w:r>
        <w:rPr>
          <w:sz w:val="21"/>
          <w:szCs w:val="21"/>
        </w:rPr>
        <w:fldChar w:fldCharType="begin"/>
      </w:r>
      <w:r>
        <w:rPr>
          <w:rStyle w:val="62"/>
          <w:sz w:val="21"/>
          <w:szCs w:val="21"/>
        </w:rPr>
        <w:instrText xml:space="preserve"> HYPERLINK "https://www.planalto.gov.br/ccivil_03/_ato2019-2022/2021/lei/l14133.htm" \l "art9"</w:instrText>
      </w:r>
      <w:r>
        <w:rPr>
          <w:rStyle w:val="62"/>
          <w:sz w:val="21"/>
          <w:szCs w:val="21"/>
        </w:rPr>
        <w:fldChar w:fldCharType="separate"/>
      </w:r>
      <w:r>
        <w:rPr>
          <w:rStyle w:val="62"/>
          <w:sz w:val="21"/>
          <w:szCs w:val="21"/>
        </w:rPr>
        <w:t>art. 9º, §2º, da Lei Federal nº 14.133, de 2021</w:t>
      </w:r>
      <w:r>
        <w:rPr>
          <w:rStyle w:val="62"/>
          <w:sz w:val="21"/>
          <w:szCs w:val="21"/>
        </w:rPr>
        <w:fldChar w:fldCharType="end"/>
      </w:r>
      <w:r>
        <w:rPr>
          <w:rStyle w:val="53"/>
          <w:color w:val="000000"/>
          <w:sz w:val="21"/>
          <w:szCs w:val="21"/>
        </w:rPr>
        <w:t>);</w:t>
      </w:r>
    </w:p>
    <w:p w14:paraId="4300A6B0">
      <w:pPr>
        <w:pStyle w:val="50"/>
        <w:numPr>
          <w:ilvl w:val="2"/>
          <w:numId w:val="1"/>
        </w:numPr>
        <w:tabs>
          <w:tab w:val="left" w:pos="1134"/>
        </w:tabs>
        <w:spacing w:before="0" w:beforeAutospacing="0" w:after="0" w:afterAutospacing="0"/>
        <w:jc w:val="both"/>
        <w:textAlignment w:val="baseline"/>
        <w:rPr>
          <w:sz w:val="21"/>
          <w:szCs w:val="21"/>
        </w:rPr>
      </w:pPr>
      <w:r>
        <w:rPr>
          <w:rStyle w:val="53"/>
          <w:sz w:val="21"/>
          <w:szCs w:val="21"/>
        </w:rPr>
        <w:t xml:space="preserve">autor do anteprojeto, do projeto básico ou do projeto executivo; </w:t>
      </w:r>
      <w:r>
        <w:rPr>
          <w:rStyle w:val="53"/>
          <w:color w:val="000000"/>
          <w:sz w:val="21"/>
          <w:szCs w:val="21"/>
        </w:rPr>
        <w:t>(</w:t>
      </w:r>
      <w:r>
        <w:rPr>
          <w:sz w:val="21"/>
          <w:szCs w:val="21"/>
        </w:rPr>
        <w:fldChar w:fldCharType="begin"/>
      </w:r>
      <w:r>
        <w:rPr>
          <w:rStyle w:val="62"/>
          <w:sz w:val="21"/>
          <w:szCs w:val="21"/>
        </w:rPr>
        <w:instrText xml:space="preserve"> HYPERLINK "https://www.planalto.gov.br/ccivil_03/_ato2019-2022/2021/lei/l14133.htm" \l "art14"</w:instrText>
      </w:r>
      <w:r>
        <w:rPr>
          <w:rStyle w:val="62"/>
          <w:sz w:val="21"/>
          <w:szCs w:val="21"/>
        </w:rPr>
        <w:fldChar w:fldCharType="separate"/>
      </w:r>
      <w:r>
        <w:rPr>
          <w:rStyle w:val="62"/>
          <w:sz w:val="21"/>
          <w:szCs w:val="21"/>
        </w:rPr>
        <w:t>art. 14, I e II e §§ 2º e 3º, da Lei Federal nº 14.133, de 2021</w:t>
      </w:r>
      <w:r>
        <w:rPr>
          <w:rStyle w:val="62"/>
          <w:sz w:val="21"/>
          <w:szCs w:val="21"/>
        </w:rPr>
        <w:fldChar w:fldCharType="end"/>
      </w:r>
      <w:r>
        <w:rPr>
          <w:rStyle w:val="53"/>
          <w:color w:val="000000"/>
          <w:sz w:val="21"/>
          <w:szCs w:val="21"/>
        </w:rPr>
        <w:t>).</w:t>
      </w:r>
    </w:p>
    <w:p w14:paraId="78D1B993">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pessoa jurídica que se encontre, ao tempo da licitação, impossibilitada de participar da licitação ou contratação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w:t>
      </w:r>
      <w:r>
        <w:rPr>
          <w:sz w:val="21"/>
          <w:szCs w:val="21"/>
        </w:rPr>
        <w:fldChar w:fldCharType="begin"/>
      </w:r>
      <w:r>
        <w:rPr>
          <w:rStyle w:val="62"/>
          <w:sz w:val="21"/>
          <w:szCs w:val="21"/>
        </w:rPr>
        <w:instrText xml:space="preserve"> HYPERLINK "https://www.planalto.gov.br/ccivil_03/_ato2019-2022/2021/lei/l14133.htm" \l "art14"</w:instrText>
      </w:r>
      <w:r>
        <w:rPr>
          <w:rStyle w:val="62"/>
          <w:sz w:val="21"/>
          <w:szCs w:val="21"/>
        </w:rPr>
        <w:fldChar w:fldCharType="separate"/>
      </w:r>
      <w:r>
        <w:rPr>
          <w:rStyle w:val="62"/>
          <w:sz w:val="21"/>
          <w:szCs w:val="21"/>
        </w:rPr>
        <w:t>art. 14, III e §1º da Lei Federal nº 14.133, de 2021</w:t>
      </w:r>
      <w:r>
        <w:rPr>
          <w:rStyle w:val="62"/>
          <w:sz w:val="21"/>
          <w:szCs w:val="21"/>
        </w:rPr>
        <w:fldChar w:fldCharType="end"/>
      </w:r>
      <w:r>
        <w:rPr>
          <w:rStyle w:val="53"/>
          <w:color w:val="000000"/>
          <w:sz w:val="21"/>
          <w:szCs w:val="21"/>
        </w:rPr>
        <w:t>);</w:t>
      </w:r>
    </w:p>
    <w:p w14:paraId="6C205EF5">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aquele que mantenha vínculo de natureza técnica, comercial, econômica, financeira, trabalhista ou civil com dirigente da Câmara Municipal de Primavera do Leste - MT</w:t>
      </w:r>
      <w:r>
        <w:rPr>
          <w:sz w:val="21"/>
          <w:szCs w:val="21"/>
        </w:rPr>
        <w:t xml:space="preserve">  </w:t>
      </w:r>
      <w:r>
        <w:rPr>
          <w:rStyle w:val="53"/>
          <w:color w:val="000000"/>
          <w:sz w:val="21"/>
          <w:szCs w:val="21"/>
        </w:rPr>
        <w:t>ou com agente público que desempenhe função na licitação ou atue na fiscalização ou na gestão do contrato, ou que deles seja cônjuge, companheiro ou parente em linha reta, colateral ou por afinidade, até o terceiro grau; (</w:t>
      </w:r>
      <w:r>
        <w:rPr>
          <w:sz w:val="21"/>
          <w:szCs w:val="21"/>
        </w:rPr>
        <w:fldChar w:fldCharType="begin"/>
      </w:r>
      <w:r>
        <w:rPr>
          <w:rStyle w:val="62"/>
          <w:sz w:val="21"/>
          <w:szCs w:val="21"/>
        </w:rPr>
        <w:instrText xml:space="preserve"> HYPERLINK "https://www.planalto.gov.br/ccivil_03/_ato2019-2022/2021/lei/l14133.htm" \l "art14"</w:instrText>
      </w:r>
      <w:r>
        <w:rPr>
          <w:rStyle w:val="62"/>
          <w:sz w:val="21"/>
          <w:szCs w:val="21"/>
        </w:rPr>
        <w:fldChar w:fldCharType="separate"/>
      </w:r>
      <w:r>
        <w:rPr>
          <w:rStyle w:val="62"/>
          <w:sz w:val="21"/>
          <w:szCs w:val="21"/>
        </w:rPr>
        <w:t>art. 14, IV, da Lei Federal nº 14.133, de 2021</w:t>
      </w:r>
      <w:r>
        <w:rPr>
          <w:rStyle w:val="62"/>
          <w:sz w:val="21"/>
          <w:szCs w:val="21"/>
        </w:rPr>
        <w:fldChar w:fldCharType="end"/>
      </w:r>
      <w:r>
        <w:rPr>
          <w:rStyle w:val="53"/>
          <w:color w:val="000000"/>
          <w:sz w:val="21"/>
          <w:szCs w:val="21"/>
        </w:rPr>
        <w:t>);</w:t>
      </w:r>
    </w:p>
    <w:p w14:paraId="407BC013">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 xml:space="preserve">empresas controladoras, controladas ou coligadas, nos termos da </w:t>
      </w:r>
      <w:r>
        <w:rPr>
          <w:sz w:val="21"/>
          <w:szCs w:val="21"/>
        </w:rPr>
        <w:fldChar w:fldCharType="begin"/>
      </w:r>
      <w:r>
        <w:rPr>
          <w:sz w:val="21"/>
          <w:szCs w:val="21"/>
        </w:rPr>
        <w:instrText xml:space="preserve"> HYPERLINK "https://www.planalto.gov.br/ccivil_03/leis/l6404consol.htm" \h </w:instrText>
      </w:r>
      <w:r>
        <w:rPr>
          <w:sz w:val="21"/>
          <w:szCs w:val="21"/>
        </w:rPr>
        <w:fldChar w:fldCharType="separate"/>
      </w:r>
      <w:r>
        <w:rPr>
          <w:rStyle w:val="62"/>
          <w:sz w:val="21"/>
          <w:szCs w:val="21"/>
        </w:rPr>
        <w:t>Lei Federal nº 6.404, de 1976</w:t>
      </w:r>
      <w:r>
        <w:rPr>
          <w:rStyle w:val="62"/>
          <w:sz w:val="21"/>
          <w:szCs w:val="21"/>
        </w:rPr>
        <w:fldChar w:fldCharType="end"/>
      </w:r>
      <w:r>
        <w:rPr>
          <w:rStyle w:val="53"/>
          <w:color w:val="000000"/>
          <w:sz w:val="21"/>
          <w:szCs w:val="21"/>
        </w:rPr>
        <w:t>, concorrendo entre si; (</w:t>
      </w:r>
      <w:r>
        <w:rPr>
          <w:sz w:val="21"/>
          <w:szCs w:val="21"/>
        </w:rPr>
        <w:fldChar w:fldCharType="begin"/>
      </w:r>
      <w:r>
        <w:rPr>
          <w:rStyle w:val="62"/>
          <w:sz w:val="21"/>
          <w:szCs w:val="21"/>
        </w:rPr>
        <w:instrText xml:space="preserve"> HYPERLINK "https://www.planalto.gov.br/ccivil_03/_ato2019-2022/2021/lei/l14133.htm" \l "art14"</w:instrText>
      </w:r>
      <w:r>
        <w:rPr>
          <w:rStyle w:val="62"/>
          <w:sz w:val="21"/>
          <w:szCs w:val="21"/>
        </w:rPr>
        <w:fldChar w:fldCharType="separate"/>
      </w:r>
      <w:r>
        <w:rPr>
          <w:rStyle w:val="62"/>
          <w:sz w:val="21"/>
          <w:szCs w:val="21"/>
        </w:rPr>
        <w:t>art. 14, V, da Lei Federal nº 14.133, de 2021</w:t>
      </w:r>
      <w:r>
        <w:rPr>
          <w:rStyle w:val="62"/>
          <w:sz w:val="21"/>
          <w:szCs w:val="21"/>
        </w:rPr>
        <w:fldChar w:fldCharType="end"/>
      </w:r>
      <w:r>
        <w:rPr>
          <w:rStyle w:val="53"/>
          <w:color w:val="000000"/>
          <w:sz w:val="21"/>
          <w:szCs w:val="21"/>
        </w:rPr>
        <w:t>);</w:t>
      </w:r>
    </w:p>
    <w:p w14:paraId="43C70F5C">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r>
        <w:rPr>
          <w:sz w:val="21"/>
          <w:szCs w:val="21"/>
        </w:rPr>
        <w:fldChar w:fldCharType="begin"/>
      </w:r>
      <w:r>
        <w:rPr>
          <w:rStyle w:val="62"/>
          <w:sz w:val="21"/>
          <w:szCs w:val="21"/>
        </w:rPr>
        <w:instrText xml:space="preserve"> HYPERLINK "https://www.planalto.gov.br/ccivil_03/_ato2019-2022/2021/lei/l14133.htm" \l "art14"</w:instrText>
      </w:r>
      <w:r>
        <w:rPr>
          <w:rStyle w:val="62"/>
          <w:sz w:val="21"/>
          <w:szCs w:val="21"/>
        </w:rPr>
        <w:fldChar w:fldCharType="separate"/>
      </w:r>
      <w:r>
        <w:rPr>
          <w:rStyle w:val="62"/>
          <w:sz w:val="21"/>
          <w:szCs w:val="21"/>
        </w:rPr>
        <w:t>art. 14, VI, da Lei Federal nº 14.133, de 2021</w:t>
      </w:r>
      <w:r>
        <w:rPr>
          <w:rStyle w:val="62"/>
          <w:sz w:val="21"/>
          <w:szCs w:val="21"/>
        </w:rPr>
        <w:fldChar w:fldCharType="end"/>
      </w:r>
      <w:r>
        <w:rPr>
          <w:rStyle w:val="53"/>
          <w:color w:val="000000"/>
          <w:sz w:val="21"/>
          <w:szCs w:val="21"/>
        </w:rPr>
        <w:t>);</w:t>
      </w:r>
    </w:p>
    <w:p w14:paraId="59325211">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Organizações da Sociedade Civil de Interesse Público - OSCIP, atuando nessa condição (</w:t>
      </w:r>
      <w:r>
        <w:rPr>
          <w:sz w:val="21"/>
          <w:szCs w:val="21"/>
        </w:rPr>
        <w:fldChar w:fldCharType="begin"/>
      </w:r>
      <w:r>
        <w:rPr>
          <w:sz w:val="21"/>
          <w:szCs w:val="21"/>
        </w:rPr>
        <w:instrText xml:space="preserve"> HYPERLINK "https://pesquisa.apps.tcu.gov.br/documento/acordao-completo/*/KEY%253AACORDAO-COMPLETO-1302349/DTRELEVANCIA%2520desc/0/sinonimos%253Dfalse" \h </w:instrText>
      </w:r>
      <w:r>
        <w:rPr>
          <w:sz w:val="21"/>
          <w:szCs w:val="21"/>
        </w:rPr>
        <w:fldChar w:fldCharType="separate"/>
      </w:r>
      <w:r>
        <w:rPr>
          <w:rStyle w:val="62"/>
          <w:sz w:val="21"/>
          <w:szCs w:val="21"/>
        </w:rPr>
        <w:t>Acórdão nº 746/2014-TCU-Plenário</w:t>
      </w:r>
      <w:r>
        <w:rPr>
          <w:rStyle w:val="62"/>
          <w:sz w:val="21"/>
          <w:szCs w:val="21"/>
        </w:rPr>
        <w:fldChar w:fldCharType="end"/>
      </w:r>
      <w:r>
        <w:rPr>
          <w:rStyle w:val="53"/>
          <w:color w:val="000000"/>
          <w:sz w:val="21"/>
          <w:szCs w:val="21"/>
        </w:rPr>
        <w:t>);</w:t>
      </w:r>
    </w:p>
    <w:p w14:paraId="289260F3">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 xml:space="preserve">aqueles que se enquadrem nas demais vedações do </w:t>
      </w:r>
      <w:r>
        <w:rPr>
          <w:sz w:val="21"/>
          <w:szCs w:val="21"/>
        </w:rPr>
        <w:fldChar w:fldCharType="begin"/>
      </w:r>
      <w:r>
        <w:rPr>
          <w:rStyle w:val="62"/>
          <w:sz w:val="21"/>
          <w:szCs w:val="21"/>
        </w:rPr>
        <w:instrText xml:space="preserve"> HYPERLINK "https://www.planalto.gov.br/ccivil_03/_ato2019-2022/2021/lei/l14133.htm" \l "art14"</w:instrText>
      </w:r>
      <w:r>
        <w:rPr>
          <w:rStyle w:val="62"/>
          <w:sz w:val="21"/>
          <w:szCs w:val="21"/>
        </w:rPr>
        <w:fldChar w:fldCharType="separate"/>
      </w:r>
      <w:r>
        <w:rPr>
          <w:rStyle w:val="62"/>
          <w:sz w:val="21"/>
          <w:szCs w:val="21"/>
        </w:rPr>
        <w:t xml:space="preserve">art. 14 da Lei Federal nº 14.133, de </w:t>
      </w:r>
      <w:r>
        <w:rPr>
          <w:rStyle w:val="62"/>
          <w:sz w:val="21"/>
          <w:szCs w:val="21"/>
        </w:rPr>
        <w:fldChar w:fldCharType="end"/>
      </w:r>
      <w:r>
        <w:rPr>
          <w:rStyle w:val="62"/>
          <w:sz w:val="21"/>
          <w:szCs w:val="21"/>
        </w:rPr>
        <w:t>2021</w:t>
      </w:r>
      <w:r>
        <w:rPr>
          <w:rStyle w:val="53"/>
          <w:color w:val="000000"/>
          <w:sz w:val="21"/>
          <w:szCs w:val="21"/>
        </w:rPr>
        <w:t>.</w:t>
      </w:r>
    </w:p>
    <w:p w14:paraId="615D3AB7">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A verificação dos impedimentos e condições de participação ocorrerá somente após a fase competitiva do certame, momento no qual o </w:t>
      </w:r>
      <w:r>
        <w:rPr>
          <w:sz w:val="21"/>
          <w:szCs w:val="21"/>
        </w:rPr>
        <w:t>Portal Licitanet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rStyle w:val="53"/>
          <w:color w:val="000000"/>
          <w:sz w:val="21"/>
          <w:szCs w:val="21"/>
        </w:rPr>
        <w:t>) permite a identificação dos participantes do certame licitatório.</w:t>
      </w:r>
    </w:p>
    <w:p w14:paraId="37D06BF3">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Encerrada a fase de lances, o  </w:t>
      </w:r>
      <w:r>
        <w:rPr>
          <w:sz w:val="21"/>
          <w:szCs w:val="21"/>
        </w:rPr>
        <w:t>Pregoeiro</w:t>
      </w:r>
      <w:r>
        <w:rPr>
          <w:rStyle w:val="53"/>
          <w:color w:val="000000"/>
          <w:sz w:val="21"/>
          <w:szCs w:val="21"/>
        </w:rPr>
        <w:t xml:space="preserve">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w:t>
      </w:r>
      <w:r>
        <w:rPr>
          <w:rStyle w:val="53"/>
          <w:sz w:val="21"/>
          <w:szCs w:val="21"/>
        </w:rPr>
        <w:t>cadastro unificado de licitantes (</w:t>
      </w:r>
      <w:r>
        <w:rPr>
          <w:sz w:val="21"/>
          <w:szCs w:val="21"/>
        </w:rPr>
        <w:fldChar w:fldCharType="begin"/>
      </w:r>
      <w:r>
        <w:rPr>
          <w:rStyle w:val="62"/>
          <w:sz w:val="21"/>
          <w:szCs w:val="21"/>
        </w:rPr>
        <w:instrText xml:space="preserve"> HYPERLINK "https://www.planalto.gov.br/ccivil_03/_ato2019-2022/2021/lei/l14133.htm" \l "art87"</w:instrText>
      </w:r>
      <w:r>
        <w:rPr>
          <w:rStyle w:val="62"/>
          <w:sz w:val="21"/>
          <w:szCs w:val="21"/>
        </w:rPr>
        <w:fldChar w:fldCharType="separate"/>
      </w:r>
      <w:r>
        <w:rPr>
          <w:rStyle w:val="62"/>
          <w:sz w:val="21"/>
          <w:szCs w:val="21"/>
        </w:rPr>
        <w:t>art. 87 da Lei Federal nº 14.133, de 2021</w:t>
      </w:r>
      <w:r>
        <w:rPr>
          <w:rStyle w:val="62"/>
          <w:sz w:val="21"/>
          <w:szCs w:val="21"/>
        </w:rPr>
        <w:fldChar w:fldCharType="end"/>
      </w:r>
      <w:r>
        <w:rPr>
          <w:rStyle w:val="53"/>
          <w:sz w:val="21"/>
          <w:szCs w:val="21"/>
        </w:rPr>
        <w:t>)</w:t>
      </w:r>
      <w:r>
        <w:rPr>
          <w:rStyle w:val="53"/>
          <w:color w:val="000000"/>
          <w:sz w:val="21"/>
          <w:szCs w:val="21"/>
        </w:rPr>
        <w:t>, bem como na “lista suja” de empregadores flagrados explorando trabalhadores em condições análogas às de escravo emitida pelo Ministério do Trabalho e Previdência, a fim de verificar se a licitante se enquadra em qualquer vedação prevista neste edital.</w:t>
      </w:r>
    </w:p>
    <w:p w14:paraId="163D5FA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Havendo qualquer impedimento, a licitante será, automaticamente, excluída da licitação, sem prejuízo das sanções previstas neste edital e em lei.</w:t>
      </w:r>
    </w:p>
    <w:p w14:paraId="349974C2">
      <w:pPr>
        <w:pStyle w:val="2"/>
        <w:spacing w:before="360" w:after="0"/>
        <w:rPr>
          <w:sz w:val="21"/>
          <w:szCs w:val="21"/>
        </w:rPr>
      </w:pPr>
      <w:bookmarkStart w:id="7" w:name="_CONSÓRCIO"/>
      <w:bookmarkEnd w:id="7"/>
      <w:bookmarkStart w:id="8" w:name="_Toc149517433"/>
      <w:r>
        <w:rPr>
          <w:rStyle w:val="53"/>
          <w:sz w:val="21"/>
          <w:szCs w:val="21"/>
        </w:rPr>
        <w:t>CONSÓRCIO</w:t>
      </w:r>
      <w:bookmarkEnd w:id="8"/>
    </w:p>
    <w:p w14:paraId="44FF91B7">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sz w:val="21"/>
          <w:szCs w:val="21"/>
        </w:rPr>
        <w:t xml:space="preserve">Nos termos do </w:t>
      </w:r>
      <w:r>
        <w:rPr>
          <w:sz w:val="21"/>
          <w:szCs w:val="21"/>
        </w:rPr>
        <w:fldChar w:fldCharType="begin"/>
      </w:r>
      <w:r>
        <w:rPr>
          <w:rStyle w:val="62"/>
          <w:sz w:val="21"/>
          <w:szCs w:val="21"/>
        </w:rPr>
        <w:instrText xml:space="preserve"> HYPERLINK "https://www.planalto.gov.br/ccivil_03/_ato2019-2022/2021/lei/l14133.htm" \l "art15"</w:instrText>
      </w:r>
      <w:r>
        <w:rPr>
          <w:rStyle w:val="62"/>
          <w:sz w:val="21"/>
          <w:szCs w:val="21"/>
        </w:rPr>
        <w:fldChar w:fldCharType="separate"/>
      </w:r>
      <w:r>
        <w:rPr>
          <w:rStyle w:val="62"/>
          <w:sz w:val="21"/>
          <w:szCs w:val="21"/>
        </w:rPr>
        <w:t>art. 15 da Lei Federal nº 14.133, de 2021</w:t>
      </w:r>
      <w:r>
        <w:rPr>
          <w:rStyle w:val="62"/>
          <w:sz w:val="21"/>
          <w:szCs w:val="21"/>
        </w:rPr>
        <w:fldChar w:fldCharType="end"/>
      </w:r>
      <w:r>
        <w:rPr>
          <w:sz w:val="21"/>
          <w:szCs w:val="21"/>
        </w:rPr>
        <w:t>, pessoa jurídica poderá participar de licitação em consórcio, observadas as seguintes normas:</w:t>
      </w:r>
    </w:p>
    <w:p w14:paraId="73936FF3">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Comprovação de compromisso público ou particular de constituição de consórcio, subscrito pelos consorciados;</w:t>
      </w:r>
    </w:p>
    <w:p w14:paraId="67CB6DCD">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Indicação da empresa líder do consórcio, que será responsável por sua representação perante a Administração;</w:t>
      </w:r>
    </w:p>
    <w:p w14:paraId="221A3D20">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Admissão, para efeito de habilitação técnica, do somatório dos quantitativos de cada consorciado e, para efeito de habilitação econômico-financeira, do somatório dos valores de cada consorciado;</w:t>
      </w:r>
    </w:p>
    <w:p w14:paraId="78A70E30">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Impedimento de a empresa consorciada participar, na mesma licitação, de mais de um consórcio ou de forma isolada;</w:t>
      </w:r>
    </w:p>
    <w:p w14:paraId="5250743B">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Responsabilidade solidária dos integrantes pelos atos praticados em consórcio, tanto na fase de licitação quanto na de execução do contrato.</w:t>
      </w:r>
    </w:p>
    <w:p w14:paraId="74D36E74">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O licitante vencedor é obrigado a promover, antes da celebração da ata de registro de preços, a constituição e o registro do consórcio, nos termos do compromisso referido no </w:t>
      </w:r>
      <w:r>
        <w:rPr>
          <w:sz w:val="21"/>
          <w:szCs w:val="21"/>
        </w:rPr>
        <w:fldChar w:fldCharType="begin"/>
      </w:r>
      <w:r>
        <w:rPr>
          <w:rStyle w:val="62"/>
          <w:sz w:val="21"/>
          <w:szCs w:val="21"/>
        </w:rPr>
        <w:instrText xml:space="preserve"> HYPERLINK "https://www.planalto.gov.br/ccivil_03/_ato2019-2022/2021/lei/l14133.htm" \l "art15"</w:instrText>
      </w:r>
      <w:r>
        <w:rPr>
          <w:rStyle w:val="62"/>
          <w:sz w:val="21"/>
          <w:szCs w:val="21"/>
        </w:rPr>
        <w:fldChar w:fldCharType="separate"/>
      </w:r>
      <w:r>
        <w:rPr>
          <w:rStyle w:val="62"/>
          <w:sz w:val="21"/>
          <w:szCs w:val="21"/>
        </w:rPr>
        <w:t>art. 15, I, da Lei Federal nº 14.133, de 2021</w:t>
      </w:r>
      <w:r>
        <w:rPr>
          <w:rStyle w:val="62"/>
          <w:sz w:val="21"/>
          <w:szCs w:val="21"/>
        </w:rPr>
        <w:fldChar w:fldCharType="end"/>
      </w:r>
      <w:r>
        <w:rPr>
          <w:sz w:val="21"/>
          <w:szCs w:val="21"/>
        </w:rPr>
        <w:t>. (</w:t>
      </w:r>
      <w:r>
        <w:rPr>
          <w:sz w:val="21"/>
          <w:szCs w:val="21"/>
        </w:rPr>
        <w:fldChar w:fldCharType="begin"/>
      </w:r>
      <w:r>
        <w:rPr>
          <w:rStyle w:val="62"/>
          <w:sz w:val="21"/>
          <w:szCs w:val="21"/>
        </w:rPr>
        <w:instrText xml:space="preserve"> HYPERLINK "https://www.planalto.gov.br/ccivil_03/_ato2019-2022/2021/lei/l14133.htm" \l "art15"</w:instrText>
      </w:r>
      <w:r>
        <w:rPr>
          <w:rStyle w:val="62"/>
          <w:sz w:val="21"/>
          <w:szCs w:val="21"/>
        </w:rPr>
        <w:fldChar w:fldCharType="separate"/>
      </w:r>
      <w:r>
        <w:rPr>
          <w:rStyle w:val="62"/>
          <w:sz w:val="21"/>
          <w:szCs w:val="21"/>
        </w:rPr>
        <w:t>art. 15, §3º, da Lei Federal nº 14.133, de 2021</w:t>
      </w:r>
      <w:r>
        <w:rPr>
          <w:rStyle w:val="62"/>
          <w:sz w:val="21"/>
          <w:szCs w:val="21"/>
        </w:rPr>
        <w:fldChar w:fldCharType="end"/>
      </w:r>
      <w:r>
        <w:rPr>
          <w:sz w:val="21"/>
          <w:szCs w:val="21"/>
        </w:rPr>
        <w:t>)</w:t>
      </w:r>
    </w:p>
    <w:p w14:paraId="1877BDE5">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A substituição de consorciado deverá ser expressamente autorizada pela </w:t>
      </w:r>
      <w:r>
        <w:rPr>
          <w:rStyle w:val="53"/>
          <w:color w:val="000000"/>
          <w:sz w:val="21"/>
          <w:szCs w:val="21"/>
        </w:rPr>
        <w:t>Câmara Municipal de Primavera do Leste - MT</w:t>
      </w:r>
      <w:r>
        <w:rPr>
          <w:sz w:val="21"/>
          <w:szCs w:val="21"/>
        </w:rPr>
        <w:t xml:space="preserve"> e condicionada à comprovação de que a nova empresa do consórcio possui, no mínimo, os mesmos quantitativos para efeito de habilitação técnicas apresentadas pela empresa substituída para fins de habilitação do consórcio no processo licitatório que originou o contrato. (</w:t>
      </w:r>
      <w:r>
        <w:rPr>
          <w:sz w:val="21"/>
          <w:szCs w:val="21"/>
        </w:rPr>
        <w:fldChar w:fldCharType="begin"/>
      </w:r>
      <w:r>
        <w:rPr>
          <w:rStyle w:val="62"/>
          <w:sz w:val="21"/>
          <w:szCs w:val="21"/>
        </w:rPr>
        <w:instrText xml:space="preserve"> HYPERLINK "https://www.planalto.gov.br/ccivil_03/_ato2019-2022/2021/lei/l14133.htm" \l "art15"</w:instrText>
      </w:r>
      <w:r>
        <w:rPr>
          <w:rStyle w:val="62"/>
          <w:sz w:val="21"/>
          <w:szCs w:val="21"/>
        </w:rPr>
        <w:fldChar w:fldCharType="separate"/>
      </w:r>
      <w:r>
        <w:rPr>
          <w:rStyle w:val="62"/>
          <w:sz w:val="21"/>
          <w:szCs w:val="21"/>
        </w:rPr>
        <w:t>art. 15, §5º, da Lei Federal nº 14.133, de 2021</w:t>
      </w:r>
      <w:r>
        <w:rPr>
          <w:rStyle w:val="62"/>
          <w:sz w:val="21"/>
          <w:szCs w:val="21"/>
        </w:rPr>
        <w:fldChar w:fldCharType="end"/>
      </w:r>
      <w:r>
        <w:rPr>
          <w:sz w:val="21"/>
          <w:szCs w:val="21"/>
        </w:rPr>
        <w:t>).</w:t>
      </w:r>
    </w:p>
    <w:p w14:paraId="31C5719F">
      <w:pPr>
        <w:pStyle w:val="2"/>
        <w:spacing w:before="360" w:after="0"/>
        <w:rPr>
          <w:sz w:val="21"/>
          <w:szCs w:val="21"/>
        </w:rPr>
      </w:pPr>
      <w:bookmarkStart w:id="9" w:name="_Toc149517434"/>
      <w:r>
        <w:rPr>
          <w:rStyle w:val="53"/>
          <w:sz w:val="21"/>
          <w:szCs w:val="21"/>
        </w:rPr>
        <w:t>COOPERATIVA</w:t>
      </w:r>
      <w:bookmarkEnd w:id="9"/>
    </w:p>
    <w:p w14:paraId="40A7C3DF">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sz w:val="21"/>
          <w:szCs w:val="21"/>
        </w:rPr>
        <w:t xml:space="preserve">Nos termos do </w:t>
      </w:r>
      <w:r>
        <w:rPr>
          <w:sz w:val="21"/>
          <w:szCs w:val="21"/>
        </w:rPr>
        <w:fldChar w:fldCharType="begin"/>
      </w:r>
      <w:r>
        <w:rPr>
          <w:rStyle w:val="62"/>
          <w:sz w:val="21"/>
          <w:szCs w:val="21"/>
        </w:rPr>
        <w:instrText xml:space="preserve"> HYPERLINK "https://www.planalto.gov.br/ccivil_03/_ato2019-2022/2021/lei/l14133.htm" \l "art16"</w:instrText>
      </w:r>
      <w:r>
        <w:rPr>
          <w:rStyle w:val="62"/>
          <w:sz w:val="21"/>
          <w:szCs w:val="21"/>
        </w:rPr>
        <w:fldChar w:fldCharType="separate"/>
      </w:r>
      <w:r>
        <w:rPr>
          <w:rStyle w:val="62"/>
          <w:sz w:val="21"/>
          <w:szCs w:val="21"/>
        </w:rPr>
        <w:t>art. 16 da Lei Federal nº 14.133, de 2021</w:t>
      </w:r>
      <w:r>
        <w:rPr>
          <w:rStyle w:val="62"/>
          <w:sz w:val="21"/>
          <w:szCs w:val="21"/>
        </w:rPr>
        <w:fldChar w:fldCharType="end"/>
      </w:r>
      <w:r>
        <w:rPr>
          <w:sz w:val="21"/>
          <w:szCs w:val="21"/>
        </w:rPr>
        <w:t>, pessoa jurídica organizada em forma de cooperativa poderá participar da licitação quando:</w:t>
      </w:r>
    </w:p>
    <w:p w14:paraId="03E6D7A1">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 xml:space="preserve">a constituição e o funcionamento da cooperativa observarem as regras estabelecidas na legislação aplicável, em especial a </w:t>
      </w:r>
      <w:r>
        <w:rPr>
          <w:sz w:val="21"/>
          <w:szCs w:val="21"/>
        </w:rPr>
        <w:fldChar w:fldCharType="begin"/>
      </w:r>
      <w:r>
        <w:rPr>
          <w:sz w:val="21"/>
          <w:szCs w:val="21"/>
        </w:rPr>
        <w:instrText xml:space="preserve"> HYPERLINK "https://www.planalto.gov.br/ccivil_03/LEIS/L5764.HTM" \h </w:instrText>
      </w:r>
      <w:r>
        <w:rPr>
          <w:sz w:val="21"/>
          <w:szCs w:val="21"/>
        </w:rPr>
        <w:fldChar w:fldCharType="separate"/>
      </w:r>
      <w:r>
        <w:rPr>
          <w:rStyle w:val="62"/>
          <w:sz w:val="21"/>
          <w:szCs w:val="21"/>
        </w:rPr>
        <w:t>Lei Federal nº 5.764, de 1971</w:t>
      </w:r>
      <w:r>
        <w:rPr>
          <w:rStyle w:val="62"/>
          <w:sz w:val="21"/>
          <w:szCs w:val="21"/>
        </w:rPr>
        <w:fldChar w:fldCharType="end"/>
      </w:r>
      <w:r>
        <w:rPr>
          <w:color w:val="000000"/>
          <w:sz w:val="21"/>
          <w:szCs w:val="21"/>
        </w:rPr>
        <w:t xml:space="preserve">, a </w:t>
      </w:r>
      <w:r>
        <w:rPr>
          <w:sz w:val="21"/>
          <w:szCs w:val="21"/>
        </w:rPr>
        <w:fldChar w:fldCharType="begin"/>
      </w:r>
      <w:r>
        <w:rPr>
          <w:sz w:val="21"/>
          <w:szCs w:val="21"/>
        </w:rPr>
        <w:instrText xml:space="preserve"> HYPERLINK "https://www.planalto.gov.br/ccivil_03/_Ato2011-2014/2012/Lei/L12690.htm" \h </w:instrText>
      </w:r>
      <w:r>
        <w:rPr>
          <w:sz w:val="21"/>
          <w:szCs w:val="21"/>
        </w:rPr>
        <w:fldChar w:fldCharType="separate"/>
      </w:r>
      <w:r>
        <w:rPr>
          <w:rStyle w:val="62"/>
          <w:sz w:val="21"/>
          <w:szCs w:val="21"/>
        </w:rPr>
        <w:t>Lei Federal nº 12.690, de 2012</w:t>
      </w:r>
      <w:r>
        <w:rPr>
          <w:rStyle w:val="62"/>
          <w:sz w:val="21"/>
          <w:szCs w:val="21"/>
        </w:rPr>
        <w:fldChar w:fldCharType="end"/>
      </w:r>
      <w:r>
        <w:rPr>
          <w:color w:val="000000"/>
          <w:sz w:val="21"/>
          <w:szCs w:val="21"/>
        </w:rPr>
        <w:t xml:space="preserve">, e a </w:t>
      </w:r>
      <w:r>
        <w:rPr>
          <w:sz w:val="21"/>
          <w:szCs w:val="21"/>
        </w:rPr>
        <w:fldChar w:fldCharType="begin"/>
      </w:r>
      <w:r>
        <w:rPr>
          <w:sz w:val="21"/>
          <w:szCs w:val="21"/>
        </w:rPr>
        <w:instrText xml:space="preserve"> HYPERLINK "https://www.planalto.gov.br/ccivil_03/LEIS/LCP/Lcp130.htm" \h </w:instrText>
      </w:r>
      <w:r>
        <w:rPr>
          <w:sz w:val="21"/>
          <w:szCs w:val="21"/>
        </w:rPr>
        <w:fldChar w:fldCharType="separate"/>
      </w:r>
      <w:r>
        <w:rPr>
          <w:rStyle w:val="62"/>
          <w:sz w:val="21"/>
          <w:szCs w:val="21"/>
        </w:rPr>
        <w:t>Lei Complementar Federal nº 130, de 2009;</w:t>
      </w:r>
      <w:r>
        <w:rPr>
          <w:rStyle w:val="62"/>
          <w:sz w:val="21"/>
          <w:szCs w:val="21"/>
        </w:rPr>
        <w:fldChar w:fldCharType="end"/>
      </w:r>
    </w:p>
    <w:p w14:paraId="531AD369">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a cooperativa apresentar demonstrativo de atuação em regime cooperado, com repartição de receitas e despesas entre os cooperados;</w:t>
      </w:r>
    </w:p>
    <w:p w14:paraId="1F93DF35">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qualquer cooperado, com igual qualificação, for capaz de executar o objeto contratado, vedado à Administração indicar nominalmente pessoas;</w:t>
      </w:r>
    </w:p>
    <w:p w14:paraId="7E845467">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 xml:space="preserve">o objeto da licitação referir-se, em se tratando de cooperativas enquadradas na </w:t>
      </w:r>
      <w:r>
        <w:rPr>
          <w:sz w:val="21"/>
          <w:szCs w:val="21"/>
        </w:rPr>
        <w:fldChar w:fldCharType="begin"/>
      </w:r>
      <w:r>
        <w:rPr>
          <w:sz w:val="21"/>
          <w:szCs w:val="21"/>
        </w:rPr>
        <w:instrText xml:space="preserve"> HYPERLINK "https://www.planalto.gov.br/ccivil_03/_Ato2011-2014/2012/Lei/L12690.htm" \h </w:instrText>
      </w:r>
      <w:r>
        <w:rPr>
          <w:sz w:val="21"/>
          <w:szCs w:val="21"/>
        </w:rPr>
        <w:fldChar w:fldCharType="separate"/>
      </w:r>
      <w:r>
        <w:rPr>
          <w:rStyle w:val="62"/>
          <w:sz w:val="21"/>
          <w:szCs w:val="21"/>
        </w:rPr>
        <w:t>Lei Federal nº 12.690, de 2012</w:t>
      </w:r>
      <w:r>
        <w:rPr>
          <w:rStyle w:val="62"/>
          <w:sz w:val="21"/>
          <w:szCs w:val="21"/>
        </w:rPr>
        <w:fldChar w:fldCharType="end"/>
      </w:r>
      <w:r>
        <w:rPr>
          <w:color w:val="000000"/>
          <w:sz w:val="21"/>
          <w:szCs w:val="21"/>
        </w:rPr>
        <w:t>, a serviços especializados constantes do objeto social da cooperativa, a serem executados de forma complementar à sua atuação.</w:t>
      </w:r>
    </w:p>
    <w:p w14:paraId="70261EEE">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O licitante organizado em cooperativa deverá declarar, ainda, em campo próprio do sistema eletrônico, que cumpre os requisitos estabelecidos no </w:t>
      </w:r>
      <w:r>
        <w:rPr>
          <w:sz w:val="21"/>
          <w:szCs w:val="21"/>
        </w:rPr>
        <w:fldChar w:fldCharType="begin"/>
      </w:r>
      <w:r>
        <w:rPr>
          <w:rStyle w:val="62"/>
          <w:sz w:val="21"/>
          <w:szCs w:val="21"/>
        </w:rPr>
        <w:instrText xml:space="preserve"> HYPERLINK "http://www.planalto.gov.br/ccivil_03/_ato2019-2022/2021/lei/L14133.htm" \l "art16"</w:instrText>
      </w:r>
      <w:r>
        <w:rPr>
          <w:rStyle w:val="62"/>
          <w:sz w:val="21"/>
          <w:szCs w:val="21"/>
        </w:rPr>
        <w:fldChar w:fldCharType="separate"/>
      </w:r>
      <w:r>
        <w:rPr>
          <w:rStyle w:val="62"/>
          <w:sz w:val="21"/>
          <w:szCs w:val="21"/>
        </w:rPr>
        <w:t>art. 16 da Lei Federal nº 14.133, de 2021</w:t>
      </w:r>
      <w:r>
        <w:rPr>
          <w:rStyle w:val="62"/>
          <w:sz w:val="21"/>
          <w:szCs w:val="21"/>
        </w:rPr>
        <w:fldChar w:fldCharType="end"/>
      </w:r>
      <w:r>
        <w:rPr>
          <w:sz w:val="21"/>
          <w:szCs w:val="21"/>
        </w:rPr>
        <w:t>.</w:t>
      </w:r>
    </w:p>
    <w:p w14:paraId="0B76700A">
      <w:pPr>
        <w:pStyle w:val="2"/>
        <w:rPr>
          <w:rStyle w:val="53"/>
          <w:rFonts w:hint="default" w:ascii="Times New Roman" w:hAnsi="Times New Roman" w:cs="Times New Roman"/>
          <w:b w:val="0"/>
          <w:bCs w:val="0"/>
          <w:sz w:val="21"/>
          <w:szCs w:val="21"/>
          <w:highlight w:val="none"/>
        </w:rPr>
      </w:pPr>
      <w:bookmarkStart w:id="10" w:name="_Toc149509708"/>
      <w:r>
        <w:rPr>
          <w:rStyle w:val="53"/>
          <w:rFonts w:hint="default" w:ascii="Times New Roman" w:hAnsi="Times New Roman" w:cs="Times New Roman"/>
          <w:sz w:val="21"/>
          <w:szCs w:val="21"/>
          <w:highlight w:val="none"/>
        </w:rPr>
        <w:t>VISTORIA PRÉVIA (OPCIONAL)</w:t>
      </w:r>
      <w:bookmarkEnd w:id="10"/>
    </w:p>
    <w:p w14:paraId="26EBE144">
      <w:pPr>
        <w:pStyle w:val="50"/>
        <w:numPr>
          <w:ilvl w:val="1"/>
          <w:numId w:val="1"/>
        </w:numPr>
        <w:tabs>
          <w:tab w:val="left" w:pos="1134"/>
          <w:tab w:val="clear" w:pos="0"/>
        </w:tabs>
        <w:spacing w:before="120" w:beforeAutospacing="0" w:after="120" w:afterAutospacing="0"/>
        <w:ind w:left="0" w:firstLine="567"/>
        <w:jc w:val="both"/>
        <w:textAlignment w:val="baseline"/>
        <w:rPr>
          <w:rFonts w:hint="default" w:ascii="Times New Roman" w:hAnsi="Times New Roman" w:cs="Times New Roman"/>
          <w:sz w:val="21"/>
          <w:szCs w:val="21"/>
          <w:highlight w:val="none"/>
        </w:rPr>
      </w:pPr>
      <w:r>
        <w:rPr>
          <w:rFonts w:hint="default" w:ascii="Times New Roman" w:hAnsi="Times New Roman" w:cs="Times New Roman"/>
          <w:color w:val="000000"/>
          <w:sz w:val="21"/>
          <w:szCs w:val="21"/>
          <w:highlight w:val="none"/>
        </w:rPr>
        <w:t xml:space="preserve">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 </w:t>
      </w:r>
      <w:r>
        <w:rPr>
          <w:rFonts w:hint="default" w:ascii="Times New Roman" w:hAnsi="Times New Roman" w:cs="Times New Roman"/>
          <w:sz w:val="21"/>
          <w:szCs w:val="21"/>
          <w:highlight w:val="none"/>
        </w:rPr>
        <w:t>(</w:t>
      </w:r>
      <w:r>
        <w:rPr>
          <w:rFonts w:hint="default" w:ascii="Times New Roman" w:hAnsi="Times New Roman" w:cs="Times New Roman"/>
          <w:sz w:val="21"/>
          <w:szCs w:val="21"/>
          <w:highlight w:val="none"/>
        </w:rPr>
        <w:fldChar w:fldCharType="begin"/>
      </w:r>
      <w:r>
        <w:rPr>
          <w:rFonts w:hint="default" w:ascii="Times New Roman" w:hAnsi="Times New Roman" w:cs="Times New Roman"/>
          <w:sz w:val="21"/>
          <w:szCs w:val="21"/>
          <w:highlight w:val="none"/>
        </w:rPr>
        <w:instrText xml:space="preserve"> HYPERLINK "https://www.planalto.gov.br/ccivil_03/_ato2019-2022/2021/lei/l14133.htm" \l "art63" </w:instrText>
      </w:r>
      <w:r>
        <w:rPr>
          <w:rFonts w:hint="default" w:ascii="Times New Roman" w:hAnsi="Times New Roman" w:cs="Times New Roman"/>
          <w:sz w:val="21"/>
          <w:szCs w:val="21"/>
          <w:highlight w:val="none"/>
        </w:rPr>
        <w:fldChar w:fldCharType="separate"/>
      </w:r>
      <w:r>
        <w:rPr>
          <w:rStyle w:val="21"/>
          <w:rFonts w:hint="default" w:ascii="Times New Roman" w:hAnsi="Times New Roman" w:cs="Times New Roman"/>
          <w:sz w:val="21"/>
          <w:szCs w:val="21"/>
          <w:highlight w:val="none"/>
        </w:rPr>
        <w:t>art. 63, § 2º, da Lei Federal nº 14.133, de 2021</w:t>
      </w:r>
      <w:r>
        <w:rPr>
          <w:rStyle w:val="21"/>
          <w:rFonts w:hint="default" w:ascii="Times New Roman" w:hAnsi="Times New Roman" w:cs="Times New Roman"/>
          <w:sz w:val="21"/>
          <w:szCs w:val="21"/>
          <w:highlight w:val="none"/>
        </w:rPr>
        <w:fldChar w:fldCharType="end"/>
      </w:r>
      <w:r>
        <w:rPr>
          <w:rFonts w:hint="default" w:ascii="Times New Roman" w:hAnsi="Times New Roman" w:cs="Times New Roman"/>
          <w:sz w:val="21"/>
          <w:szCs w:val="21"/>
          <w:highlight w:val="none"/>
        </w:rPr>
        <w:t>)</w:t>
      </w:r>
    </w:p>
    <w:p w14:paraId="030E10F0">
      <w:pPr>
        <w:pStyle w:val="50"/>
        <w:numPr>
          <w:ilvl w:val="1"/>
          <w:numId w:val="1"/>
        </w:numPr>
        <w:tabs>
          <w:tab w:val="left" w:pos="1134"/>
          <w:tab w:val="clear" w:pos="0"/>
        </w:tabs>
        <w:spacing w:before="120" w:beforeAutospacing="0" w:after="120" w:afterAutospacing="0"/>
        <w:ind w:left="0" w:firstLine="567"/>
        <w:jc w:val="both"/>
        <w:textAlignment w:val="baseline"/>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A vistoria prévia tem por finalidade que o proponente possa constatar as condições de execução e particularidades inerentes à natureza dos trabalhos e sobre o local e para que perceba a realidade do cenário do empreendimento, suas peculiaridades, grau de dificuldade, quantitativos, etc, tendo condições de formar um conceito sobre os serviços como um todo e apresentando um preço justo em sua proposta não havendo dessa forma alegações futuras de desconhecimento das condições de execução dos serviços objeto deste Edital.</w:t>
      </w:r>
    </w:p>
    <w:p w14:paraId="47BE273C">
      <w:pPr>
        <w:pStyle w:val="50"/>
        <w:numPr>
          <w:ilvl w:val="1"/>
          <w:numId w:val="1"/>
        </w:numPr>
        <w:tabs>
          <w:tab w:val="left" w:pos="1134"/>
          <w:tab w:val="clear" w:pos="0"/>
        </w:tabs>
        <w:spacing w:before="120" w:beforeAutospacing="0" w:after="120" w:afterAutospacing="0"/>
        <w:ind w:left="0" w:firstLine="567"/>
        <w:jc w:val="both"/>
        <w:textAlignment w:val="baseline"/>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 xml:space="preserve">O licitante que optar por realizar vistoria prévia deverá agendar visita diretamente com a </w:t>
      </w:r>
      <w:r>
        <w:rPr>
          <w:rFonts w:hint="default" w:ascii="Times New Roman" w:hAnsi="Times New Roman" w:cs="Times New Roman"/>
          <w:b/>
          <w:bCs/>
          <w:color w:val="000000"/>
          <w:sz w:val="21"/>
          <w:szCs w:val="21"/>
          <w:highlight w:val="none"/>
          <w:lang w:val="pt-BR"/>
        </w:rPr>
        <w:t>Câmara Municipal de Primavera do Leste - MT</w:t>
      </w:r>
      <w:r>
        <w:rPr>
          <w:rFonts w:hint="default" w:ascii="Times New Roman" w:hAnsi="Times New Roman" w:cs="Times New Roman"/>
          <w:color w:val="000000"/>
          <w:sz w:val="21"/>
          <w:szCs w:val="21"/>
          <w:highlight w:val="none"/>
          <w:lang w:val="pt-BR"/>
        </w:rPr>
        <w:t>,</w:t>
      </w:r>
      <w:r>
        <w:rPr>
          <w:rFonts w:hint="default" w:ascii="Times New Roman" w:hAnsi="Times New Roman" w:cs="Times New Roman"/>
          <w:color w:val="000000"/>
          <w:sz w:val="21"/>
          <w:szCs w:val="21"/>
          <w:highlight w:val="none"/>
        </w:rPr>
        <w:t xml:space="preserve"> por intermédio do e-mail: </w:t>
      </w:r>
      <w:r>
        <w:rPr>
          <w:rFonts w:hint="default" w:ascii="Times New Roman" w:hAnsi="Times New Roman" w:cs="Times New Roman"/>
          <w:b/>
          <w:bCs/>
          <w:color w:val="000000"/>
          <w:sz w:val="21"/>
          <w:szCs w:val="21"/>
          <w:highlight w:val="none"/>
          <w:lang w:val="pt-BR"/>
        </w:rPr>
        <w:t>licitacao@primaveradoleste.mt.leg.br</w:t>
      </w:r>
      <w:r>
        <w:rPr>
          <w:rFonts w:hint="default" w:ascii="Times New Roman" w:hAnsi="Times New Roman" w:cs="Times New Roman"/>
          <w:color w:val="000000"/>
          <w:sz w:val="21"/>
          <w:szCs w:val="21"/>
          <w:highlight w:val="none"/>
        </w:rPr>
        <w:t xml:space="preserve"> ou pelo telefone: </w:t>
      </w:r>
      <w:r>
        <w:rPr>
          <w:rFonts w:hint="default" w:ascii="Times New Roman" w:hAnsi="Times New Roman" w:cs="Times New Roman"/>
          <w:b/>
          <w:bCs/>
          <w:color w:val="000000"/>
          <w:sz w:val="21"/>
          <w:szCs w:val="21"/>
          <w:highlight w:val="none"/>
          <w:lang w:val="pt-BR"/>
        </w:rPr>
        <w:t>(66) 3498-3590</w:t>
      </w:r>
      <w:r>
        <w:rPr>
          <w:rFonts w:hint="default" w:ascii="Times New Roman" w:hAnsi="Times New Roman" w:cs="Times New Roman"/>
          <w:color w:val="000000"/>
          <w:sz w:val="21"/>
          <w:szCs w:val="21"/>
          <w:highlight w:val="none"/>
        </w:rPr>
        <w:t xml:space="preserve"> no horário de funcionamento </w:t>
      </w:r>
      <w:r>
        <w:rPr>
          <w:rFonts w:hint="default" w:ascii="Times New Roman" w:hAnsi="Times New Roman" w:cs="Times New Roman"/>
          <w:color w:val="000000"/>
          <w:sz w:val="21"/>
          <w:szCs w:val="21"/>
          <w:highlight w:val="none"/>
          <w:lang w:val="pt-BR"/>
        </w:rPr>
        <w:t>do órgão</w:t>
      </w:r>
      <w:r>
        <w:rPr>
          <w:rFonts w:hint="default" w:ascii="Times New Roman" w:hAnsi="Times New Roman" w:cs="Times New Roman"/>
          <w:color w:val="000000"/>
          <w:sz w:val="21"/>
          <w:szCs w:val="21"/>
          <w:highlight w:val="none"/>
        </w:rPr>
        <w:t xml:space="preserve">, de modo que seu agendamento não coincida com o agendamento de outros licitantes interessados  </w:t>
      </w:r>
      <w:r>
        <w:rPr>
          <w:rFonts w:hint="default" w:ascii="Times New Roman" w:hAnsi="Times New Roman" w:cs="Times New Roman"/>
          <w:sz w:val="21"/>
          <w:szCs w:val="21"/>
          <w:highlight w:val="none"/>
        </w:rPr>
        <w:t>(</w:t>
      </w:r>
      <w:r>
        <w:rPr>
          <w:rFonts w:hint="default" w:ascii="Times New Roman" w:hAnsi="Times New Roman" w:cs="Times New Roman"/>
          <w:sz w:val="21"/>
          <w:szCs w:val="21"/>
          <w:highlight w:val="none"/>
        </w:rPr>
        <w:fldChar w:fldCharType="begin"/>
      </w:r>
      <w:r>
        <w:rPr>
          <w:rFonts w:hint="default" w:ascii="Times New Roman" w:hAnsi="Times New Roman" w:cs="Times New Roman"/>
          <w:sz w:val="21"/>
          <w:szCs w:val="21"/>
          <w:highlight w:val="none"/>
        </w:rPr>
        <w:instrText xml:space="preserve"> HYPERLINK "https://www.planalto.gov.br/ccivil_03/_ato2019-2022/2021/lei/l14133.htm" \l "art63" </w:instrText>
      </w:r>
      <w:r>
        <w:rPr>
          <w:rFonts w:hint="default" w:ascii="Times New Roman" w:hAnsi="Times New Roman" w:cs="Times New Roman"/>
          <w:sz w:val="21"/>
          <w:szCs w:val="21"/>
          <w:highlight w:val="none"/>
        </w:rPr>
        <w:fldChar w:fldCharType="separate"/>
      </w:r>
      <w:r>
        <w:rPr>
          <w:rStyle w:val="21"/>
          <w:rFonts w:hint="default" w:ascii="Times New Roman" w:hAnsi="Times New Roman" w:cs="Times New Roman"/>
          <w:sz w:val="21"/>
          <w:szCs w:val="21"/>
          <w:highlight w:val="none"/>
        </w:rPr>
        <w:t>art. 63, § 4º, da Lei Federal nº 14.133, de 2021</w:t>
      </w:r>
      <w:r>
        <w:rPr>
          <w:rStyle w:val="21"/>
          <w:rFonts w:hint="default" w:ascii="Times New Roman" w:hAnsi="Times New Roman" w:cs="Times New Roman"/>
          <w:sz w:val="21"/>
          <w:szCs w:val="21"/>
          <w:highlight w:val="none"/>
        </w:rPr>
        <w:fldChar w:fldCharType="end"/>
      </w:r>
      <w:r>
        <w:rPr>
          <w:rFonts w:hint="default" w:ascii="Times New Roman" w:hAnsi="Times New Roman" w:cs="Times New Roman"/>
          <w:sz w:val="21"/>
          <w:szCs w:val="21"/>
          <w:highlight w:val="none"/>
        </w:rPr>
        <w:t>)</w:t>
      </w:r>
      <w:r>
        <w:rPr>
          <w:rFonts w:hint="default" w:ascii="Times New Roman" w:hAnsi="Times New Roman" w:cs="Times New Roman"/>
          <w:color w:val="000000"/>
          <w:sz w:val="21"/>
          <w:szCs w:val="21"/>
          <w:highlight w:val="none"/>
        </w:rPr>
        <w:t>, não sendo aceitas visitas sem agendamento e as visitas deverão ocorrer em até 2 (dois) dias úteis antes da data de início do certame licitatório.</w:t>
      </w:r>
    </w:p>
    <w:p w14:paraId="53B8C49F">
      <w:pPr>
        <w:pStyle w:val="50"/>
        <w:numPr>
          <w:ilvl w:val="1"/>
          <w:numId w:val="1"/>
        </w:numPr>
        <w:tabs>
          <w:tab w:val="left" w:pos="1134"/>
          <w:tab w:val="clear" w:pos="0"/>
        </w:tabs>
        <w:spacing w:before="120" w:beforeAutospacing="0" w:after="120" w:afterAutospacing="0"/>
        <w:ind w:left="0" w:firstLine="567"/>
        <w:jc w:val="both"/>
        <w:textAlignment w:val="baseline"/>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Caso o licitante opte por não realizar vistoria, poderá</w:t>
      </w:r>
      <w:r>
        <w:rPr>
          <w:rFonts w:hint="default" w:ascii="Times New Roman" w:hAnsi="Times New Roman" w:cs="Times New Roman"/>
          <w:color w:val="000000"/>
          <w:sz w:val="21"/>
          <w:szCs w:val="21"/>
          <w:highlight w:val="none"/>
          <w:lang w:val="pt-BR"/>
        </w:rPr>
        <w:t xml:space="preserve">, </w:t>
      </w:r>
      <w:r>
        <w:rPr>
          <w:rFonts w:hint="default" w:ascii="Times New Roman" w:hAnsi="Times New Roman" w:cs="Times New Roman"/>
          <w:color w:val="000000"/>
          <w:sz w:val="21"/>
          <w:szCs w:val="21"/>
          <w:highlight w:val="none"/>
        </w:rPr>
        <w:t>sob pena de inabilitação</w:t>
      </w:r>
      <w:r>
        <w:rPr>
          <w:rFonts w:hint="default" w:ascii="Times New Roman" w:hAnsi="Times New Roman" w:cs="Times New Roman"/>
          <w:color w:val="000000"/>
          <w:sz w:val="21"/>
          <w:szCs w:val="21"/>
          <w:highlight w:val="none"/>
          <w:lang w:val="pt-BR"/>
        </w:rPr>
        <w:t>,</w:t>
      </w:r>
      <w:r>
        <w:rPr>
          <w:rFonts w:hint="default" w:ascii="Times New Roman" w:hAnsi="Times New Roman" w:cs="Times New Roman"/>
          <w:color w:val="000000"/>
          <w:sz w:val="21"/>
          <w:szCs w:val="21"/>
          <w:highlight w:val="none"/>
        </w:rPr>
        <w:t xml:space="preserve"> substituir a declaração exigida no presente item por declaração formal assinada pelo seu responsável técnico acerca do conhecimento pleno das condições e peculiaridades da contratação.</w:t>
      </w:r>
    </w:p>
    <w:p w14:paraId="7D74CFDB">
      <w:pPr>
        <w:pStyle w:val="50"/>
        <w:numPr>
          <w:ilvl w:val="1"/>
          <w:numId w:val="1"/>
        </w:numPr>
        <w:tabs>
          <w:tab w:val="left" w:pos="1134"/>
          <w:tab w:val="clear" w:pos="0"/>
        </w:tabs>
        <w:spacing w:before="120" w:beforeAutospacing="0" w:after="120" w:afterAutospacing="0"/>
        <w:ind w:left="0" w:firstLine="567"/>
        <w:jc w:val="both"/>
        <w:textAlignment w:val="baseline"/>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 xml:space="preserve">A empresa licitante, a seu critério, poderá declinar da vistoria prévia, sendo, neste caso, necessário apresentar, em substituição ao Atestado de Vistoria prévia, declaração formal assinada pelo responsável técnico da licitante, sob as penalidades da lei, de que tem pleno conhecimento das condições e peculiaridades inerentes à natureza dos trabalhos e sobre o local do serviço, assumindo total responsabilidade por esta declaração e ficando impedida, no futuro, de pleitear, por força do conhecimento declarado, quaisquer alterações contratuais de natureza técnica ou financeira. </w:t>
      </w:r>
      <w:r>
        <w:rPr>
          <w:rFonts w:hint="default" w:ascii="Times New Roman" w:hAnsi="Times New Roman" w:cs="Times New Roman"/>
          <w:sz w:val="21"/>
          <w:szCs w:val="21"/>
          <w:highlight w:val="none"/>
        </w:rPr>
        <w:t>(</w:t>
      </w:r>
      <w:r>
        <w:rPr>
          <w:rFonts w:hint="default" w:ascii="Times New Roman" w:hAnsi="Times New Roman" w:cs="Times New Roman"/>
          <w:sz w:val="21"/>
          <w:szCs w:val="21"/>
          <w:highlight w:val="none"/>
        </w:rPr>
        <w:fldChar w:fldCharType="begin"/>
      </w:r>
      <w:r>
        <w:rPr>
          <w:rFonts w:hint="default" w:ascii="Times New Roman" w:hAnsi="Times New Roman" w:cs="Times New Roman"/>
          <w:sz w:val="21"/>
          <w:szCs w:val="21"/>
          <w:highlight w:val="none"/>
        </w:rPr>
        <w:instrText xml:space="preserve"> HYPERLINK "https://www.planalto.gov.br/ccivil_03/_ato2019-2022/2021/lei/l14133.htm" \l "art63" </w:instrText>
      </w:r>
      <w:r>
        <w:rPr>
          <w:rFonts w:hint="default" w:ascii="Times New Roman" w:hAnsi="Times New Roman" w:cs="Times New Roman"/>
          <w:sz w:val="21"/>
          <w:szCs w:val="21"/>
          <w:highlight w:val="none"/>
        </w:rPr>
        <w:fldChar w:fldCharType="separate"/>
      </w:r>
      <w:r>
        <w:rPr>
          <w:rStyle w:val="21"/>
          <w:rFonts w:hint="default" w:ascii="Times New Roman" w:hAnsi="Times New Roman" w:cs="Times New Roman"/>
          <w:sz w:val="21"/>
          <w:szCs w:val="21"/>
          <w:highlight w:val="none"/>
        </w:rPr>
        <w:t>art. 63, § 3º, da Lei Federal nº 14.133, de 2021</w:t>
      </w:r>
      <w:r>
        <w:rPr>
          <w:rStyle w:val="21"/>
          <w:rFonts w:hint="default" w:ascii="Times New Roman" w:hAnsi="Times New Roman" w:cs="Times New Roman"/>
          <w:sz w:val="21"/>
          <w:szCs w:val="21"/>
          <w:highlight w:val="none"/>
        </w:rPr>
        <w:fldChar w:fldCharType="end"/>
      </w:r>
      <w:r>
        <w:rPr>
          <w:rFonts w:hint="default" w:ascii="Times New Roman" w:hAnsi="Times New Roman" w:cs="Times New Roman"/>
          <w:sz w:val="21"/>
          <w:szCs w:val="21"/>
          <w:highlight w:val="none"/>
        </w:rPr>
        <w:t>)</w:t>
      </w:r>
    </w:p>
    <w:p w14:paraId="39286D50">
      <w:pPr>
        <w:pStyle w:val="50"/>
        <w:numPr>
          <w:ilvl w:val="1"/>
          <w:numId w:val="1"/>
        </w:numPr>
        <w:tabs>
          <w:tab w:val="left" w:pos="1134"/>
          <w:tab w:val="clear" w:pos="0"/>
        </w:tabs>
        <w:spacing w:before="120" w:beforeAutospacing="0" w:after="120" w:afterAutospacing="0"/>
        <w:ind w:left="0" w:firstLine="567"/>
        <w:jc w:val="both"/>
        <w:textAlignment w:val="baseline"/>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 xml:space="preserve">No caso vistoria prévia (opcional) deve ser preenchido atestado conforme modelo constante no </w:t>
      </w:r>
      <w:r>
        <w:rPr>
          <w:rFonts w:hint="default" w:ascii="Times New Roman" w:hAnsi="Times New Roman" w:cs="Times New Roman"/>
          <w:sz w:val="21"/>
          <w:szCs w:val="21"/>
          <w:highlight w:val="none"/>
        </w:rPr>
        <w:fldChar w:fldCharType="begin"/>
      </w:r>
      <w:r>
        <w:rPr>
          <w:rFonts w:hint="default" w:ascii="Times New Roman" w:hAnsi="Times New Roman" w:cs="Times New Roman"/>
          <w:sz w:val="21"/>
          <w:szCs w:val="21"/>
          <w:highlight w:val="none"/>
        </w:rPr>
        <w:instrText xml:space="preserve"> HYPERLINK \l "_ANEXO_III_-_1" </w:instrText>
      </w:r>
      <w:r>
        <w:rPr>
          <w:rFonts w:hint="default" w:ascii="Times New Roman" w:hAnsi="Times New Roman" w:cs="Times New Roman"/>
          <w:sz w:val="21"/>
          <w:szCs w:val="21"/>
          <w:highlight w:val="none"/>
        </w:rPr>
        <w:fldChar w:fldCharType="separate"/>
      </w:r>
      <w:r>
        <w:rPr>
          <w:rStyle w:val="21"/>
          <w:rFonts w:hint="default" w:ascii="Times New Roman" w:hAnsi="Times New Roman" w:cs="Times New Roman"/>
          <w:sz w:val="21"/>
          <w:szCs w:val="21"/>
          <w:highlight w:val="none"/>
        </w:rPr>
        <w:t>Anexo I</w:t>
      </w:r>
      <w:r>
        <w:rPr>
          <w:rStyle w:val="21"/>
          <w:rFonts w:hint="default" w:ascii="Times New Roman" w:hAnsi="Times New Roman" w:cs="Times New Roman"/>
          <w:sz w:val="21"/>
          <w:szCs w:val="21"/>
          <w:highlight w:val="none"/>
          <w:lang w:val="pt-BR"/>
        </w:rPr>
        <w:t>V</w:t>
      </w:r>
      <w:r>
        <w:rPr>
          <w:rStyle w:val="21"/>
          <w:rFonts w:hint="default" w:ascii="Times New Roman" w:hAnsi="Times New Roman" w:cs="Times New Roman"/>
          <w:sz w:val="21"/>
          <w:szCs w:val="21"/>
          <w:highlight w:val="none"/>
        </w:rPr>
        <w:t xml:space="preserve"> - Modelo de Atestado de Vistoria Técnica</w:t>
      </w:r>
      <w:r>
        <w:rPr>
          <w:rStyle w:val="21"/>
          <w:rFonts w:hint="default" w:ascii="Times New Roman" w:hAnsi="Times New Roman" w:cs="Times New Roman"/>
          <w:sz w:val="21"/>
          <w:szCs w:val="21"/>
          <w:highlight w:val="none"/>
        </w:rPr>
        <w:fldChar w:fldCharType="end"/>
      </w:r>
      <w:r>
        <w:rPr>
          <w:rFonts w:hint="default" w:ascii="Times New Roman" w:hAnsi="Times New Roman" w:cs="Times New Roman"/>
          <w:sz w:val="21"/>
          <w:szCs w:val="21"/>
          <w:highlight w:val="none"/>
        </w:rPr>
        <w:t xml:space="preserve"> e no caso de dispensa da referida vistoria </w:t>
      </w:r>
      <w:r>
        <w:rPr>
          <w:rFonts w:hint="default" w:ascii="Times New Roman" w:hAnsi="Times New Roman" w:cs="Times New Roman"/>
          <w:color w:val="000000"/>
          <w:sz w:val="21"/>
          <w:szCs w:val="21"/>
          <w:highlight w:val="none"/>
        </w:rPr>
        <w:t xml:space="preserve">deverá ser preenchida declaração, conforme modelo constante no </w:t>
      </w:r>
      <w:r>
        <w:rPr>
          <w:rFonts w:hint="default" w:ascii="Times New Roman" w:hAnsi="Times New Roman" w:cs="Times New Roman"/>
          <w:sz w:val="21"/>
          <w:szCs w:val="21"/>
          <w:highlight w:val="none"/>
        </w:rPr>
        <w:fldChar w:fldCharType="begin"/>
      </w:r>
      <w:r>
        <w:rPr>
          <w:rFonts w:hint="default" w:ascii="Times New Roman" w:hAnsi="Times New Roman" w:cs="Times New Roman"/>
          <w:sz w:val="21"/>
          <w:szCs w:val="21"/>
          <w:highlight w:val="none"/>
        </w:rPr>
        <w:instrText xml:space="preserve"> HYPERLINK \l "_ANEXO_IV_-" </w:instrText>
      </w:r>
      <w:r>
        <w:rPr>
          <w:rFonts w:hint="default" w:ascii="Times New Roman" w:hAnsi="Times New Roman" w:cs="Times New Roman"/>
          <w:sz w:val="21"/>
          <w:szCs w:val="21"/>
          <w:highlight w:val="none"/>
        </w:rPr>
        <w:fldChar w:fldCharType="separate"/>
      </w:r>
      <w:r>
        <w:rPr>
          <w:rStyle w:val="21"/>
          <w:rFonts w:hint="default" w:ascii="Times New Roman" w:hAnsi="Times New Roman" w:cs="Times New Roman"/>
          <w:sz w:val="21"/>
          <w:szCs w:val="21"/>
          <w:highlight w:val="none"/>
        </w:rPr>
        <w:t>Anexo V - Modelo de Declaração de Pleno Conhecimento</w:t>
      </w:r>
      <w:r>
        <w:rPr>
          <w:rStyle w:val="21"/>
          <w:rFonts w:hint="default" w:ascii="Times New Roman" w:hAnsi="Times New Roman" w:cs="Times New Roman"/>
          <w:sz w:val="21"/>
          <w:szCs w:val="21"/>
          <w:highlight w:val="none"/>
        </w:rPr>
        <w:fldChar w:fldCharType="end"/>
      </w:r>
      <w:r>
        <w:rPr>
          <w:rFonts w:hint="default" w:ascii="Times New Roman" w:hAnsi="Times New Roman" w:cs="Times New Roman"/>
          <w:color w:val="000000"/>
          <w:sz w:val="21"/>
          <w:szCs w:val="21"/>
          <w:highlight w:val="none"/>
        </w:rPr>
        <w:t>.</w:t>
      </w:r>
    </w:p>
    <w:p w14:paraId="2D902D6D">
      <w:pPr>
        <w:pStyle w:val="2"/>
        <w:spacing w:before="360" w:after="0"/>
        <w:rPr>
          <w:sz w:val="21"/>
          <w:szCs w:val="21"/>
        </w:rPr>
      </w:pPr>
      <w:bookmarkStart w:id="11" w:name="_Toc149517435"/>
      <w:r>
        <w:rPr>
          <w:rStyle w:val="53"/>
          <w:sz w:val="21"/>
          <w:szCs w:val="21"/>
        </w:rPr>
        <w:t>IMPUGNAÇÃO E ESCLARECIMENTOS</w:t>
      </w:r>
      <w:bookmarkEnd w:id="11"/>
    </w:p>
    <w:p w14:paraId="3E57C3D3">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rStyle w:val="53"/>
          <w:color w:val="000000" w:themeColor="text1"/>
          <w:sz w:val="21"/>
          <w:szCs w:val="21"/>
          <w14:textFill>
            <w14:solidFill>
              <w14:schemeClr w14:val="tx1"/>
            </w14:solidFill>
          </w14:textFill>
        </w:rPr>
        <w:t>Qualquer</w:t>
      </w:r>
      <w:r>
        <w:rPr>
          <w:color w:val="000000"/>
          <w:sz w:val="21"/>
          <w:szCs w:val="21"/>
        </w:rPr>
        <w:t xml:space="preserve"> pessoa, física ou jurídica, é parte legítima para impugnar edital de licitação por irregularidade na aplicação desta Lei ou para solicitar esclarecimento sobre os seus termos, devendo protocolar o pedido até 3 (três) dias úteis antes da data de abertura do certame (</w:t>
      </w:r>
      <w:r>
        <w:rPr>
          <w:sz w:val="21"/>
          <w:szCs w:val="21"/>
        </w:rPr>
        <w:fldChar w:fldCharType="begin"/>
      </w:r>
      <w:r>
        <w:rPr>
          <w:rStyle w:val="62"/>
          <w:sz w:val="21"/>
          <w:szCs w:val="21"/>
        </w:rPr>
        <w:instrText xml:space="preserve"> HYPERLINK "https://www.planalto.gov.br/ccivil_03/_ato2019-2022/2021/lei/l14133.htm" \l "art164"</w:instrText>
      </w:r>
      <w:r>
        <w:rPr>
          <w:rStyle w:val="62"/>
          <w:sz w:val="21"/>
          <w:szCs w:val="21"/>
        </w:rPr>
        <w:fldChar w:fldCharType="separate"/>
      </w:r>
      <w:r>
        <w:rPr>
          <w:rStyle w:val="62"/>
          <w:sz w:val="21"/>
          <w:szCs w:val="21"/>
        </w:rPr>
        <w:t xml:space="preserve">art. 164, </w:t>
      </w:r>
      <w:r>
        <w:rPr>
          <w:rStyle w:val="62"/>
          <w:sz w:val="21"/>
          <w:szCs w:val="21"/>
        </w:rPr>
        <w:fldChar w:fldCharType="end"/>
      </w:r>
      <w:r>
        <w:rPr>
          <w:rStyle w:val="62"/>
          <w:i/>
          <w:iCs/>
          <w:sz w:val="21"/>
          <w:szCs w:val="21"/>
        </w:rPr>
        <w:t>caput</w:t>
      </w:r>
      <w:r>
        <w:rPr>
          <w:rStyle w:val="62"/>
          <w:sz w:val="21"/>
          <w:szCs w:val="21"/>
        </w:rPr>
        <w:t>, da Lei Federal nº 14.133, de 2021</w:t>
      </w:r>
      <w:r>
        <w:rPr>
          <w:color w:val="000000"/>
          <w:sz w:val="21"/>
          <w:szCs w:val="21"/>
        </w:rPr>
        <w:t>).</w:t>
      </w:r>
    </w:p>
    <w:p w14:paraId="22E064A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As </w:t>
      </w:r>
      <w:r>
        <w:rPr>
          <w:rStyle w:val="53"/>
          <w:color w:val="000000" w:themeColor="text1"/>
          <w:sz w:val="21"/>
          <w:szCs w:val="21"/>
          <w14:textFill>
            <w14:solidFill>
              <w14:schemeClr w14:val="tx1"/>
            </w14:solidFill>
          </w14:textFill>
        </w:rPr>
        <w:t>impugnações</w:t>
      </w:r>
      <w:r>
        <w:rPr>
          <w:color w:val="000000"/>
          <w:sz w:val="21"/>
          <w:szCs w:val="21"/>
        </w:rPr>
        <w:t xml:space="preserve"> e os esclarecimentos deverão ser encaminhados exclusivamente de forma eletrônica pelo envio de mensagem eletrônica para o endereço: </w:t>
      </w:r>
      <w:r>
        <w:rPr>
          <w:sz w:val="21"/>
          <w:szCs w:val="21"/>
        </w:rPr>
        <w:fldChar w:fldCharType="begin"/>
      </w:r>
      <w:r>
        <w:rPr>
          <w:sz w:val="21"/>
          <w:szCs w:val="21"/>
        </w:rPr>
        <w:instrText xml:space="preserve"> HYPERLINK "mailto:licitacao@primaveradoleste.mt.leg.br" \h </w:instrText>
      </w:r>
      <w:r>
        <w:rPr>
          <w:sz w:val="21"/>
          <w:szCs w:val="21"/>
        </w:rPr>
        <w:fldChar w:fldCharType="separate"/>
      </w:r>
      <w:r>
        <w:rPr>
          <w:rStyle w:val="62"/>
          <w:sz w:val="21"/>
          <w:szCs w:val="21"/>
        </w:rPr>
        <w:t>licitacao@primaveradoleste.mt.leg.br</w:t>
      </w:r>
      <w:r>
        <w:rPr>
          <w:rStyle w:val="62"/>
          <w:sz w:val="21"/>
          <w:szCs w:val="21"/>
        </w:rPr>
        <w:fldChar w:fldCharType="end"/>
      </w:r>
      <w:r>
        <w:rPr>
          <w:color w:val="000000"/>
          <w:sz w:val="21"/>
          <w:szCs w:val="21"/>
        </w:rPr>
        <w:t xml:space="preserve">. </w:t>
      </w:r>
    </w:p>
    <w:p w14:paraId="5856CBC7">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As </w:t>
      </w:r>
      <w:r>
        <w:rPr>
          <w:rStyle w:val="53"/>
          <w:color w:val="000000" w:themeColor="text1"/>
          <w:sz w:val="21"/>
          <w:szCs w:val="21"/>
          <w14:textFill>
            <w14:solidFill>
              <w14:schemeClr w14:val="tx1"/>
            </w14:solidFill>
          </w14:textFill>
        </w:rPr>
        <w:t>impugnações</w:t>
      </w:r>
      <w:r>
        <w:rPr>
          <w:color w:val="000000"/>
          <w:sz w:val="21"/>
          <w:szCs w:val="21"/>
        </w:rPr>
        <w:t xml:space="preserve"> e pedidos de esclarecimentos não suspendem e nem interrompem os prazos previstos no certame licitatório.</w:t>
      </w:r>
    </w:p>
    <w:p w14:paraId="40CAC7D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A concessão de efeito suspensivo à impugnação é medida excepcional e deverá ser motivada pelo(a) Pregoeiro, nos autos do processo de licitação.</w:t>
      </w:r>
    </w:p>
    <w:p w14:paraId="3962D644">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A resposta à impugnação ou ao pedido de esclarecimento será divulgado em sítio eletrônico oficial no prazo de até 3 (três) dias úteis, limitado ao último dia útil anterior à data da abertura do certame, e </w:t>
      </w:r>
      <w:r>
        <w:rPr>
          <w:color w:val="000000"/>
          <w:sz w:val="21"/>
          <w:szCs w:val="21"/>
        </w:rPr>
        <w:t xml:space="preserve">será divulgada no sítio eletrônico </w:t>
      </w:r>
      <w:r>
        <w:rPr>
          <w:rStyle w:val="53"/>
          <w:color w:val="000000" w:themeColor="text1"/>
          <w:sz w:val="21"/>
          <w:szCs w:val="21"/>
          <w14:textFill>
            <w14:solidFill>
              <w14:schemeClr w14:val="tx1"/>
            </w14:solidFill>
          </w14:textFill>
        </w:rPr>
        <w:t>oficial</w:t>
      </w:r>
      <w:r>
        <w:rPr>
          <w:color w:val="000000"/>
          <w:sz w:val="21"/>
          <w:szCs w:val="21"/>
        </w:rPr>
        <w:t xml:space="preserve"> da </w:t>
      </w:r>
      <w:r>
        <w:rPr>
          <w:rStyle w:val="53"/>
          <w:color w:val="000000"/>
          <w:sz w:val="21"/>
          <w:szCs w:val="21"/>
        </w:rPr>
        <w:t>Câmara Municipal de Primavera do Leste – MT</w:t>
      </w:r>
      <w:r>
        <w:rPr>
          <w:sz w:val="21"/>
          <w:szCs w:val="21"/>
        </w:rPr>
        <w:t xml:space="preserve">, disponível no endereço eletrônico: </w:t>
      </w:r>
      <w:r>
        <w:rPr>
          <w:sz w:val="21"/>
          <w:szCs w:val="21"/>
        </w:rPr>
        <w:fldChar w:fldCharType="begin"/>
      </w:r>
      <w:r>
        <w:rPr>
          <w:sz w:val="21"/>
          <w:szCs w:val="21"/>
        </w:rPr>
        <w:instrText xml:space="preserve"> HYPERLINK "https://www.primaveradoleste.mt.leg.br/" \h </w:instrText>
      </w:r>
      <w:r>
        <w:rPr>
          <w:sz w:val="21"/>
          <w:szCs w:val="21"/>
        </w:rPr>
        <w:fldChar w:fldCharType="separate"/>
      </w:r>
      <w:r>
        <w:rPr>
          <w:rStyle w:val="62"/>
          <w:sz w:val="21"/>
          <w:szCs w:val="21"/>
        </w:rPr>
        <w:t>https://www.primaveradoleste.mt.leg.br/</w:t>
      </w:r>
      <w:r>
        <w:rPr>
          <w:rStyle w:val="62"/>
          <w:sz w:val="21"/>
          <w:szCs w:val="21"/>
        </w:rPr>
        <w:fldChar w:fldCharType="end"/>
      </w:r>
      <w:r>
        <w:rPr>
          <w:sz w:val="21"/>
          <w:szCs w:val="21"/>
        </w:rPr>
        <w:t xml:space="preserve"> </w:t>
      </w:r>
      <w:r>
        <w:rPr>
          <w:color w:val="000000"/>
          <w:sz w:val="21"/>
          <w:szCs w:val="21"/>
        </w:rPr>
        <w:t>(</w:t>
      </w:r>
      <w:r>
        <w:rPr>
          <w:sz w:val="21"/>
          <w:szCs w:val="21"/>
        </w:rPr>
        <w:fldChar w:fldCharType="begin"/>
      </w:r>
      <w:r>
        <w:rPr>
          <w:rStyle w:val="62"/>
          <w:sz w:val="21"/>
          <w:szCs w:val="21"/>
        </w:rPr>
        <w:instrText xml:space="preserve"> HYPERLINK "https://www.planalto.gov.br/ccivil_03/_ato2019-2022/2021/lei/l14133.htm" \l "art164"</w:instrText>
      </w:r>
      <w:r>
        <w:rPr>
          <w:rStyle w:val="62"/>
          <w:sz w:val="21"/>
          <w:szCs w:val="21"/>
        </w:rPr>
        <w:fldChar w:fldCharType="separate"/>
      </w:r>
      <w:r>
        <w:rPr>
          <w:rStyle w:val="62"/>
          <w:sz w:val="21"/>
          <w:szCs w:val="21"/>
        </w:rPr>
        <w:t>art. 164, parágrafo único, da Lei Federal nº 14.133, de 2021</w:t>
      </w:r>
      <w:r>
        <w:rPr>
          <w:rStyle w:val="62"/>
          <w:sz w:val="21"/>
          <w:szCs w:val="21"/>
        </w:rPr>
        <w:fldChar w:fldCharType="end"/>
      </w:r>
      <w:r>
        <w:rPr>
          <w:color w:val="000000"/>
          <w:sz w:val="21"/>
          <w:szCs w:val="21"/>
        </w:rPr>
        <w:t>).</w:t>
      </w:r>
    </w:p>
    <w:p w14:paraId="5C9855C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Acolhida a IMPUGNAÇÃO contra este Edital e seus Anexos, serão procedidas as alterações e adequações necessárias, bem como designada nova data para a realização do certame, exceto quando, inquestionavelmente, a alteração não afetar a formulação das propostas (</w:t>
      </w:r>
      <w:r>
        <w:rPr>
          <w:sz w:val="21"/>
          <w:szCs w:val="21"/>
        </w:rPr>
        <w:fldChar w:fldCharType="begin"/>
      </w:r>
      <w:r>
        <w:rPr>
          <w:rStyle w:val="62"/>
          <w:sz w:val="21"/>
          <w:szCs w:val="21"/>
        </w:rPr>
        <w:instrText xml:space="preserve"> HYPERLINK "https://www.planalto.gov.br/ccivil_03/_ato2019-2022/2021/lei/l14133.htm" \l "art55"</w:instrText>
      </w:r>
      <w:r>
        <w:rPr>
          <w:rStyle w:val="62"/>
          <w:sz w:val="21"/>
          <w:szCs w:val="21"/>
        </w:rPr>
        <w:fldChar w:fldCharType="separate"/>
      </w:r>
      <w:r>
        <w:rPr>
          <w:rStyle w:val="62"/>
          <w:sz w:val="21"/>
          <w:szCs w:val="21"/>
        </w:rPr>
        <w:t>art. 55, § 1º, da Lei Federal nº 14.133, de 2021</w:t>
      </w:r>
      <w:r>
        <w:rPr>
          <w:rStyle w:val="62"/>
          <w:sz w:val="21"/>
          <w:szCs w:val="21"/>
        </w:rPr>
        <w:fldChar w:fldCharType="end"/>
      </w:r>
      <w:r>
        <w:rPr>
          <w:color w:val="000000"/>
          <w:sz w:val="21"/>
          <w:szCs w:val="21"/>
        </w:rPr>
        <w:t>).</w:t>
      </w:r>
    </w:p>
    <w:p w14:paraId="48C3F97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5AF8F8B4">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rPr>
          <w:sz w:val="21"/>
          <w:szCs w:val="21"/>
        </w:rPr>
        <w:fldChar w:fldCharType="begin"/>
      </w:r>
      <w:r>
        <w:rPr>
          <w:sz w:val="21"/>
          <w:szCs w:val="21"/>
        </w:rPr>
        <w:instrText xml:space="preserve"> HYPERLINK "https://portal.stf.jus.br/jurisprudencia/sumariosumulas.asp?base=30&amp;sumula=1602" \h </w:instrText>
      </w:r>
      <w:r>
        <w:rPr>
          <w:sz w:val="21"/>
          <w:szCs w:val="21"/>
        </w:rPr>
        <w:fldChar w:fldCharType="separate"/>
      </w:r>
      <w:r>
        <w:rPr>
          <w:rStyle w:val="62"/>
          <w:sz w:val="21"/>
          <w:szCs w:val="21"/>
        </w:rPr>
        <w:t>Súmula nº 473 do STF</w:t>
      </w:r>
      <w:r>
        <w:rPr>
          <w:rStyle w:val="62"/>
          <w:sz w:val="21"/>
          <w:szCs w:val="21"/>
        </w:rPr>
        <w:fldChar w:fldCharType="end"/>
      </w:r>
      <w:r>
        <w:rPr>
          <w:color w:val="000000"/>
          <w:sz w:val="21"/>
          <w:szCs w:val="21"/>
        </w:rPr>
        <w:t xml:space="preserve"> e </w:t>
      </w:r>
      <w:r>
        <w:rPr>
          <w:sz w:val="21"/>
          <w:szCs w:val="21"/>
        </w:rPr>
        <w:fldChar w:fldCharType="begin"/>
      </w:r>
      <w:r>
        <w:rPr>
          <w:rStyle w:val="62"/>
          <w:sz w:val="21"/>
          <w:szCs w:val="21"/>
        </w:rPr>
        <w:instrText xml:space="preserve"> HYPERLINK "https://www.planalto.gov.br/ccivil_03/_ato2019-2022/2021/lei/l14133.htm" \l "art71"</w:instrText>
      </w:r>
      <w:r>
        <w:rPr>
          <w:rStyle w:val="62"/>
          <w:sz w:val="21"/>
          <w:szCs w:val="21"/>
        </w:rPr>
        <w:fldChar w:fldCharType="separate"/>
      </w:r>
      <w:r>
        <w:rPr>
          <w:rStyle w:val="62"/>
          <w:sz w:val="21"/>
          <w:szCs w:val="21"/>
        </w:rPr>
        <w:t>art. 71, § 3º, da Lei Federal nº 14.133, de 2021</w:t>
      </w:r>
      <w:r>
        <w:rPr>
          <w:rStyle w:val="62"/>
          <w:sz w:val="21"/>
          <w:szCs w:val="21"/>
        </w:rPr>
        <w:fldChar w:fldCharType="end"/>
      </w:r>
      <w:r>
        <w:rPr>
          <w:color w:val="000000"/>
          <w:sz w:val="21"/>
          <w:szCs w:val="21"/>
        </w:rPr>
        <w:t>).</w:t>
      </w:r>
    </w:p>
    <w:p w14:paraId="0B310467">
      <w:pPr>
        <w:pStyle w:val="2"/>
        <w:spacing w:before="360" w:after="0"/>
        <w:rPr>
          <w:sz w:val="21"/>
          <w:szCs w:val="21"/>
        </w:rPr>
      </w:pPr>
      <w:bookmarkStart w:id="12" w:name="_CREDENCIAMENTO"/>
      <w:bookmarkEnd w:id="12"/>
      <w:bookmarkStart w:id="13" w:name="_Toc149517436"/>
      <w:r>
        <w:rPr>
          <w:rStyle w:val="53"/>
          <w:sz w:val="21"/>
          <w:szCs w:val="21"/>
        </w:rPr>
        <w:t>CREDENCIAMENTO</w:t>
      </w:r>
      <w:bookmarkEnd w:id="13"/>
      <w:r>
        <w:rPr>
          <w:rStyle w:val="53"/>
          <w:sz w:val="21"/>
          <w:szCs w:val="21"/>
        </w:rPr>
        <w:t> </w:t>
      </w:r>
    </w:p>
    <w:p w14:paraId="58B3EA68">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rStyle w:val="53"/>
          <w:color w:val="000000"/>
          <w:sz w:val="21"/>
          <w:szCs w:val="21"/>
        </w:rPr>
        <w:t>As empresas licitantes interessadas deverão proceder ao credenciamento antes da data marcada para início da Sessão Pública via internet.</w:t>
      </w:r>
    </w:p>
    <w:p w14:paraId="4E5C5CE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09DA1B9E">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A participação do licitante no </w:t>
      </w:r>
      <w:r>
        <w:rPr>
          <w:rStyle w:val="53"/>
          <w:color w:val="000000" w:themeColor="text1"/>
          <w:sz w:val="21"/>
          <w:szCs w:val="21"/>
          <w14:textFill>
            <w14:solidFill>
              <w14:schemeClr w14:val="tx1"/>
            </w14:solidFill>
          </w14:textFill>
        </w:rPr>
        <w:t>Pregão</w:t>
      </w:r>
      <w:r>
        <w:rPr>
          <w:rStyle w:val="53"/>
          <w:color w:val="000000"/>
          <w:sz w:val="21"/>
          <w:szCs w:val="21"/>
        </w:rPr>
        <w:t xml:space="preserve"> se dará exclusivamente através de </w:t>
      </w:r>
      <w:r>
        <w:rPr>
          <w:rStyle w:val="53"/>
          <w:i/>
          <w:iCs/>
          <w:color w:val="000000"/>
          <w:sz w:val="21"/>
          <w:szCs w:val="21"/>
        </w:rPr>
        <w:t>Home Broker</w:t>
      </w:r>
      <w:r>
        <w:rPr>
          <w:rStyle w:val="53"/>
          <w:color w:val="000000"/>
          <w:sz w:val="21"/>
          <w:szCs w:val="21"/>
        </w:rPr>
        <w:t>, o qual deverá manifestar em campo próprio da plataforma Eletrônica, pleno conhecimento, aceitação e atendimento às exigências de habilitação previstas no Edital.</w:t>
      </w:r>
    </w:p>
    <w:p w14:paraId="3D0E60B4">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O credenciamento dar-se-á pela atribuição de chave de identificação e de senha, pessoal e intransferível, para acesso ao 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sz w:val="21"/>
          <w:szCs w:val="21"/>
        </w:rPr>
        <w:t xml:space="preserve">, </w:t>
      </w:r>
      <w:r>
        <w:rPr>
          <w:rStyle w:val="53"/>
          <w:color w:val="000000"/>
          <w:sz w:val="21"/>
          <w:szCs w:val="21"/>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p>
    <w:p w14:paraId="6054ECD9">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O acesso do licitante ao </w:t>
      </w:r>
      <w:r>
        <w:rPr>
          <w:rStyle w:val="53"/>
          <w:color w:val="000000" w:themeColor="text1"/>
          <w:sz w:val="21"/>
          <w:szCs w:val="21"/>
          <w14:textFill>
            <w14:solidFill>
              <w14:schemeClr w14:val="tx1"/>
            </w14:solidFill>
          </w14:textFill>
        </w:rPr>
        <w:t>Pregão</w:t>
      </w:r>
      <w:r>
        <w:rPr>
          <w:rStyle w:val="53"/>
          <w:color w:val="000000"/>
          <w:sz w:val="21"/>
          <w:szCs w:val="21"/>
        </w:rPr>
        <w:t xml:space="preserve">, em sua forma eletrônica, para efeito de encaminhamento de proposta de preço e lances sucessivos de preços, somente se dará mediante prévio cadastramento e adesão ao </w:t>
      </w:r>
      <w:r>
        <w:rPr>
          <w:sz w:val="21"/>
          <w:szCs w:val="21"/>
        </w:rPr>
        <w:t xml:space="preserve">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sz w:val="21"/>
          <w:szCs w:val="21"/>
        </w:rPr>
        <w:t>.</w:t>
      </w:r>
    </w:p>
    <w:p w14:paraId="6D8B1F4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É de exclusiva responsabilidade do licitante o sigilo da senha, bem como seu uso em qualquer transação efetuada, não cabendo ao </w:t>
      </w:r>
      <w:r>
        <w:rPr>
          <w:sz w:val="21"/>
          <w:szCs w:val="21"/>
        </w:rPr>
        <w:t>Portal Licitanet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rStyle w:val="53"/>
          <w:color w:val="000000"/>
          <w:sz w:val="21"/>
          <w:szCs w:val="21"/>
        </w:rPr>
        <w:t xml:space="preserve">) e à </w:t>
      </w:r>
      <w:r>
        <w:rPr>
          <w:rStyle w:val="53"/>
          <w:color w:val="000000" w:themeColor="text1"/>
          <w:sz w:val="21"/>
          <w:szCs w:val="21"/>
          <w14:textFill>
            <w14:solidFill>
              <w14:schemeClr w14:val="tx1"/>
            </w14:solidFill>
          </w14:textFill>
        </w:rPr>
        <w:t>Câmara Municipal de Primavera do Leste - MT</w:t>
      </w:r>
      <w:r>
        <w:rPr>
          <w:rStyle w:val="53"/>
          <w:color w:val="000000"/>
          <w:sz w:val="21"/>
          <w:szCs w:val="21"/>
        </w:rPr>
        <w:t xml:space="preserve"> a responsabilidade por eventuais danos decorrentes de uso indevido da senha, ainda que por terceiros.</w:t>
      </w:r>
    </w:p>
    <w:p w14:paraId="76EE1A9D">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O cadastramento do licitante junto a plataforma onde ocorrerá a disputa no presente </w:t>
      </w:r>
      <w:r>
        <w:rPr>
          <w:rStyle w:val="53"/>
          <w:color w:val="000000" w:themeColor="text1"/>
          <w:sz w:val="21"/>
          <w:szCs w:val="21"/>
          <w14:textFill>
            <w14:solidFill>
              <w14:schemeClr w14:val="tx1"/>
            </w14:solidFill>
          </w14:textFill>
        </w:rPr>
        <w:t>Pregão</w:t>
      </w:r>
      <w:r>
        <w:rPr>
          <w:rStyle w:val="53"/>
          <w:color w:val="000000"/>
          <w:sz w:val="21"/>
          <w:szCs w:val="21"/>
        </w:rPr>
        <w:t xml:space="preserve"> implica a responsabilidade legal pelos atos praticados e a presunção de capacidade técnica para realização das transações inerentes ao certame. </w:t>
      </w:r>
    </w:p>
    <w:p w14:paraId="6528485F">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As microempresas ou as empresas de pequeno porte no momento de seu cadastro deverão manifestar em campo próprio do Sistema Eletrônico o estabelecido na </w:t>
      </w:r>
      <w:r>
        <w:rPr>
          <w:sz w:val="21"/>
          <w:szCs w:val="21"/>
        </w:rPr>
        <w:fldChar w:fldCharType="begin"/>
      </w:r>
      <w:r>
        <w:rPr>
          <w:sz w:val="21"/>
          <w:szCs w:val="21"/>
        </w:rPr>
        <w:instrText xml:space="preserve"> HYPERLINK "https://www.planalto.gov.br/ccivil_03/leis/lcp/lcp123.htm" \h </w:instrText>
      </w:r>
      <w:r>
        <w:rPr>
          <w:sz w:val="21"/>
          <w:szCs w:val="21"/>
        </w:rPr>
        <w:fldChar w:fldCharType="separate"/>
      </w:r>
      <w:r>
        <w:rPr>
          <w:rStyle w:val="62"/>
          <w:sz w:val="21"/>
          <w:szCs w:val="21"/>
        </w:rPr>
        <w:t>Lei Complementar Federal nº 123, de 2006</w:t>
      </w:r>
      <w:r>
        <w:rPr>
          <w:rStyle w:val="62"/>
          <w:sz w:val="21"/>
          <w:szCs w:val="21"/>
        </w:rPr>
        <w:fldChar w:fldCharType="end"/>
      </w:r>
      <w:r>
        <w:rPr>
          <w:rStyle w:val="53"/>
          <w:color w:val="000000"/>
          <w:sz w:val="21"/>
          <w:szCs w:val="21"/>
        </w:rPr>
        <w:t>.</w:t>
      </w:r>
    </w:p>
    <w:p w14:paraId="7A214091">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A não declaração, no momento do credenciamento, da licitante em referência </w:t>
      </w:r>
      <w:r>
        <w:rPr>
          <w:sz w:val="21"/>
          <w:szCs w:val="21"/>
        </w:rPr>
        <w:fldChar w:fldCharType="begin"/>
      </w:r>
      <w:r>
        <w:rPr>
          <w:sz w:val="21"/>
          <w:szCs w:val="21"/>
        </w:rPr>
        <w:instrText xml:space="preserve"> HYPERLINK "https://www.planalto.gov.br/ccivil_03/leis/lcp/lcp123.htm" \h </w:instrText>
      </w:r>
      <w:r>
        <w:rPr>
          <w:sz w:val="21"/>
          <w:szCs w:val="21"/>
        </w:rPr>
        <w:fldChar w:fldCharType="separate"/>
      </w:r>
      <w:r>
        <w:rPr>
          <w:rStyle w:val="62"/>
          <w:sz w:val="21"/>
          <w:szCs w:val="21"/>
        </w:rPr>
        <w:t>Lei Complementar Federal nº 123, de 2006</w:t>
      </w:r>
      <w:r>
        <w:rPr>
          <w:rStyle w:val="62"/>
          <w:sz w:val="21"/>
          <w:szCs w:val="21"/>
        </w:rPr>
        <w:fldChar w:fldCharType="end"/>
      </w:r>
      <w:r>
        <w:rPr>
          <w:rStyle w:val="53"/>
          <w:color w:val="000000"/>
          <w:sz w:val="21"/>
          <w:szCs w:val="21"/>
        </w:rPr>
        <w:t>, caso se enquadre, implicará o IMPEDIMENTO DA LICITANTE EM BENEFICIAR-SE DA CONDIÇÃO DE MICROEMPRESA (ME) OU EMPRESA DE PEQUENO PORTE (EPP).</w:t>
      </w:r>
    </w:p>
    <w:p w14:paraId="4EA30CE5">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A declaração falsa dos requisitos do credenciamento sujeitará às sanções previstas neste Edital e nas demais cominações legais do certame, em especial quanto à tipificação prevista no </w:t>
      </w:r>
      <w:r>
        <w:rPr>
          <w:sz w:val="21"/>
          <w:szCs w:val="21"/>
        </w:rPr>
        <w:fldChar w:fldCharType="begin"/>
      </w:r>
      <w:r>
        <w:rPr>
          <w:rStyle w:val="62"/>
          <w:sz w:val="21"/>
          <w:szCs w:val="21"/>
        </w:rPr>
        <w:instrText xml:space="preserve"> HYPERLINK "https://www.planalto.gov.br/ccivil_03/_ato2019-2022/2021/lei/l14133.htm" \l "art155"</w:instrText>
      </w:r>
      <w:r>
        <w:rPr>
          <w:rStyle w:val="62"/>
          <w:sz w:val="21"/>
          <w:szCs w:val="21"/>
        </w:rPr>
        <w:fldChar w:fldCharType="separate"/>
      </w:r>
      <w:r>
        <w:rPr>
          <w:rStyle w:val="62"/>
          <w:sz w:val="21"/>
          <w:szCs w:val="21"/>
        </w:rPr>
        <w:t>art. 155, VIII, da Lei Federal nº 14.133, de 2021</w:t>
      </w:r>
      <w:r>
        <w:rPr>
          <w:rStyle w:val="62"/>
          <w:sz w:val="21"/>
          <w:szCs w:val="21"/>
        </w:rPr>
        <w:fldChar w:fldCharType="end"/>
      </w:r>
      <w:r>
        <w:rPr>
          <w:rStyle w:val="53"/>
          <w:color w:val="000000"/>
          <w:sz w:val="21"/>
          <w:szCs w:val="21"/>
        </w:rPr>
        <w:t xml:space="preserve">. </w:t>
      </w:r>
    </w:p>
    <w:p w14:paraId="2D92911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A perda da senha ou a quebra de sigilo deverá ser comunicada ao provedor do sistema para imediato bloqueio de acesso.</w:t>
      </w:r>
    </w:p>
    <w:p w14:paraId="1A843E42">
      <w:pPr>
        <w:pStyle w:val="2"/>
        <w:spacing w:before="360" w:after="0"/>
        <w:rPr>
          <w:sz w:val="21"/>
          <w:szCs w:val="21"/>
        </w:rPr>
      </w:pPr>
      <w:bookmarkStart w:id="14" w:name="_Toc149517437"/>
      <w:r>
        <w:rPr>
          <w:rStyle w:val="53"/>
          <w:sz w:val="21"/>
          <w:szCs w:val="21"/>
        </w:rPr>
        <w:t>CADASTRAMENTO DA PROPOSTA</w:t>
      </w:r>
      <w:bookmarkEnd w:id="14"/>
      <w:r>
        <w:rPr>
          <w:rStyle w:val="53"/>
          <w:sz w:val="21"/>
          <w:szCs w:val="21"/>
        </w:rPr>
        <w:t xml:space="preserve"> </w:t>
      </w:r>
    </w:p>
    <w:p w14:paraId="34122CEC">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rStyle w:val="53"/>
          <w:color w:val="000000"/>
          <w:sz w:val="21"/>
          <w:szCs w:val="21"/>
        </w:rPr>
        <w:t xml:space="preserve">O cadastramento de proposta(s) somente será possível após o cadastramento no </w:t>
      </w:r>
      <w:r>
        <w:rPr>
          <w:sz w:val="21"/>
          <w:szCs w:val="21"/>
        </w:rPr>
        <w:t xml:space="preserve">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rStyle w:val="53"/>
          <w:color w:val="000000"/>
          <w:sz w:val="21"/>
          <w:szCs w:val="21"/>
        </w:rPr>
        <w:t>, na forma estabelecida no item “</w:t>
      </w:r>
      <w:r>
        <w:rPr>
          <w:sz w:val="21"/>
          <w:szCs w:val="21"/>
        </w:rPr>
        <w:fldChar w:fldCharType="begin"/>
      </w:r>
      <w:r>
        <w:rPr>
          <w:sz w:val="21"/>
          <w:szCs w:val="21"/>
        </w:rPr>
        <w:instrText xml:space="preserve"> HYPERLINK \l "_CREDENCIAMENTO" \h </w:instrText>
      </w:r>
      <w:r>
        <w:rPr>
          <w:sz w:val="21"/>
          <w:szCs w:val="21"/>
        </w:rPr>
        <w:fldChar w:fldCharType="separate"/>
      </w:r>
      <w:r>
        <w:rPr>
          <w:rStyle w:val="62"/>
          <w:sz w:val="21"/>
          <w:szCs w:val="21"/>
        </w:rPr>
        <w:t>13 - CREDENCIAMENTO</w:t>
      </w:r>
      <w:r>
        <w:rPr>
          <w:rStyle w:val="62"/>
          <w:sz w:val="21"/>
          <w:szCs w:val="21"/>
        </w:rPr>
        <w:fldChar w:fldCharType="end"/>
      </w:r>
      <w:r>
        <w:rPr>
          <w:rStyle w:val="53"/>
          <w:color w:val="000000"/>
          <w:sz w:val="21"/>
          <w:szCs w:val="21"/>
        </w:rPr>
        <w:t>” deste Edital.</w:t>
      </w:r>
    </w:p>
    <w:p w14:paraId="3D46AD9C">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A proposta de preços com o preço unitário/total para o item único, deverá ser enviada em formulário específico, mediante o uso da chave de acesso e senha privativa da licitante, exclusivamente, por meio do sistema eletrônico, no prazo indicado no item </w:t>
      </w:r>
      <w:r>
        <w:rPr>
          <w:sz w:val="21"/>
          <w:szCs w:val="21"/>
        </w:rPr>
        <w:t>“</w:t>
      </w:r>
      <w:r>
        <w:rPr>
          <w:sz w:val="21"/>
          <w:szCs w:val="21"/>
        </w:rPr>
        <w:fldChar w:fldCharType="begin"/>
      </w:r>
      <w:r>
        <w:rPr>
          <w:sz w:val="21"/>
          <w:szCs w:val="21"/>
        </w:rPr>
        <w:instrText xml:space="preserve"> HYPERLINK \l "_DATA_E_HORÁRIO" \h </w:instrText>
      </w:r>
      <w:r>
        <w:rPr>
          <w:sz w:val="21"/>
          <w:szCs w:val="21"/>
        </w:rPr>
        <w:fldChar w:fldCharType="separate"/>
      </w:r>
      <w:r>
        <w:rPr>
          <w:rStyle w:val="62"/>
          <w:sz w:val="21"/>
          <w:szCs w:val="21"/>
        </w:rPr>
        <w:t>4 - DATA E HORÁRIO</w:t>
      </w:r>
      <w:r>
        <w:rPr>
          <w:rStyle w:val="62"/>
          <w:sz w:val="21"/>
          <w:szCs w:val="21"/>
        </w:rPr>
        <w:fldChar w:fldCharType="end"/>
      </w:r>
      <w:r>
        <w:rPr>
          <w:sz w:val="21"/>
          <w:szCs w:val="21"/>
        </w:rPr>
        <w:t>”</w:t>
      </w:r>
      <w:r>
        <w:rPr>
          <w:rStyle w:val="53"/>
          <w:color w:val="000000"/>
          <w:sz w:val="21"/>
          <w:szCs w:val="21"/>
        </w:rPr>
        <w:t>.</w:t>
      </w:r>
    </w:p>
    <w:p w14:paraId="058A8B78">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O registro de proposta eletrônica vinculada ao presente certame implica, independente de expressa declaração, na(o):</w:t>
      </w:r>
    </w:p>
    <w:p w14:paraId="3031EE1D">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Aceitação de todas as condições estabelecidas neste Edital e seus Anexos;</w:t>
      </w:r>
    </w:p>
    <w:p w14:paraId="0686CC07">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garantia do cumprimento da proposta por prazo mínimo de 90 (noventa) dias, contados da data de abertura da sessão pública;</w:t>
      </w:r>
    </w:p>
    <w:p w14:paraId="57537C30">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compromisso do licitante para com o rigoroso cumprimento das especificações técnicas, prazos e condições fixadas no Termo de Referência (Anexo I);</w:t>
      </w:r>
    </w:p>
    <w:p w14:paraId="0212F0F0">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Impossibilidade de posterior desistência ou declínio de proposta a partir da data da sessão eletrônica inicial, ou de requerer qualquer acréscimo de custos que deveria ter sido incluído na sua proposta;</w:t>
      </w:r>
    </w:p>
    <w:p w14:paraId="577E07EF">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Submissão às sanções administrativas previstas neste Edital e seus Anexos;</w:t>
      </w:r>
    </w:p>
    <w:p w14:paraId="5657C344">
      <w:pPr>
        <w:pStyle w:val="50"/>
        <w:numPr>
          <w:ilvl w:val="2"/>
          <w:numId w:val="1"/>
        </w:numPr>
        <w:tabs>
          <w:tab w:val="left" w:pos="1134"/>
        </w:tabs>
        <w:spacing w:before="0" w:beforeAutospacing="0" w:after="0" w:afterAutospacing="0"/>
        <w:jc w:val="both"/>
        <w:textAlignment w:val="baseline"/>
        <w:rPr>
          <w:sz w:val="21"/>
          <w:szCs w:val="21"/>
        </w:rPr>
      </w:pPr>
      <w:r>
        <w:rPr>
          <w:rStyle w:val="53"/>
          <w:color w:val="000000"/>
          <w:sz w:val="21"/>
          <w:szCs w:val="21"/>
        </w:rPr>
        <w:t xml:space="preserve">Obrigação de participar ativamente do certame (ON LINE) até a sua conclusão, encaminhando toda a documentação solicitada e/ou prestando as informações e esclarecimentos solicitados pelo(a) </w:t>
      </w:r>
      <w:r>
        <w:rPr>
          <w:sz w:val="21"/>
          <w:szCs w:val="21"/>
        </w:rPr>
        <w:t>Pregoeiro</w:t>
      </w:r>
      <w:r>
        <w:rPr>
          <w:rStyle w:val="53"/>
          <w:color w:val="000000"/>
          <w:sz w:val="21"/>
          <w:szCs w:val="21"/>
        </w:rPr>
        <w:t>.</w:t>
      </w:r>
    </w:p>
    <w:p w14:paraId="6641533B">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As propostas registradas no “Sistema” NÃO DEVEM CONTER NENHUMA IDENTIFICAÇÃO DA EMPRESA PROPONENTE, visando atender o princípio da impessoalidade e preservar o sigilo das propostas, sob pena de desclassificação.</w:t>
      </w:r>
    </w:p>
    <w:p w14:paraId="33C5870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49D6CC95">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Os lances serão de envio automático pelo sistema, que respeitará o preço final mínimo, bem como o intervalo de que trata o item anterior.</w:t>
      </w:r>
    </w:p>
    <w:p w14:paraId="2271879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O preço final mínimo poderá ser alterado pela licitante durante a fase de lances, porém, não poderá ser superior a lance já registrado por ela no sistema.</w:t>
      </w:r>
    </w:p>
    <w:p w14:paraId="3247F7F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6EDC235F">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Caberá à licitante comunicar imediatamente ao provedor do sistema eletrônico utilizado no certame, qualquer acontecimento que possa comprometer o sigilo ou a segurança, para imediato bloqueio de acesso. </w:t>
      </w:r>
    </w:p>
    <w:p w14:paraId="42434399">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Até a abertura da sessão, as licitantes poderão retirar ou substituir suas propostas anteriormente apresentadas. </w:t>
      </w:r>
    </w:p>
    <w:p w14:paraId="3A69DBFF">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A proposta deverá obedecer rigorosamente aos termos deste Edital e seus anexos, não sendo aceita oferta de serviços com características e quantidades diferentes das indicadas no Termo de Referência - Anexo I deste Edital.</w:t>
      </w:r>
    </w:p>
    <w:p w14:paraId="0D5B4E9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Todas as especificações do objeto contidas na proposta vinculam o fornecedor registrado.</w:t>
      </w:r>
    </w:p>
    <w:p w14:paraId="141B8691">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 xml:space="preserve">Independente de declaração expressa, a simples apresentação da proposta implica submissão da licitante a todas as condições estipuladas neste Edital e seus anexos, bem como, na legislação aplicável, inclusive a </w:t>
      </w:r>
      <w:r>
        <w:rPr>
          <w:sz w:val="21"/>
          <w:szCs w:val="21"/>
        </w:rPr>
        <w:fldChar w:fldCharType="begin"/>
      </w:r>
      <w:r>
        <w:rPr>
          <w:sz w:val="21"/>
          <w:szCs w:val="21"/>
        </w:rPr>
        <w:instrText xml:space="preserve"> HYPERLINK "https://www.planalto.gov.br/ccivil_03/leis/l8078compilado.htm" \h </w:instrText>
      </w:r>
      <w:r>
        <w:rPr>
          <w:sz w:val="21"/>
          <w:szCs w:val="21"/>
        </w:rPr>
        <w:fldChar w:fldCharType="separate"/>
      </w:r>
      <w:r>
        <w:rPr>
          <w:rStyle w:val="62"/>
          <w:sz w:val="21"/>
          <w:szCs w:val="21"/>
        </w:rPr>
        <w:t>Lei Federal nº 8.078, de 1990</w:t>
      </w:r>
      <w:r>
        <w:rPr>
          <w:rStyle w:val="62"/>
          <w:sz w:val="21"/>
          <w:szCs w:val="21"/>
        </w:rPr>
        <w:fldChar w:fldCharType="end"/>
      </w:r>
      <w:r>
        <w:rPr>
          <w:rStyle w:val="53"/>
          <w:color w:val="000000"/>
          <w:sz w:val="21"/>
          <w:szCs w:val="21"/>
        </w:rPr>
        <w:t>.</w:t>
      </w:r>
    </w:p>
    <w:p w14:paraId="3A8BC139">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Nenhuma indenização será devida aos licitantes pela elaboração ou apresentação de propostas relativas a presente licitação.</w:t>
      </w:r>
    </w:p>
    <w:p w14:paraId="43F1278C">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Nos valores propostos estarão inclusos todos os custos operacionais, encargos previdenciários, trabalhistas, tributários, comerciais, frete e quaisquer outros que incidam, direta ou indiretamente, no fornecimento dos bens.</w:t>
      </w:r>
    </w:p>
    <w:p w14:paraId="7E594FC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Após a abertura da sessão pública eletrônica do presente certame não cabe, em nenhuma hipótese, desistência de proposta.</w:t>
      </w:r>
    </w:p>
    <w:p w14:paraId="455A96EF">
      <w:pPr>
        <w:pStyle w:val="50"/>
        <w:numPr>
          <w:ilvl w:val="1"/>
          <w:numId w:val="1"/>
        </w:numPr>
        <w:tabs>
          <w:tab w:val="left" w:pos="1134"/>
        </w:tabs>
        <w:spacing w:before="0" w:beforeAutospacing="0" w:after="0" w:afterAutospacing="0"/>
        <w:ind w:left="-87" w:leftChars="0" w:firstLine="567" w:firstLineChars="0"/>
        <w:jc w:val="both"/>
        <w:textAlignment w:val="baseline"/>
        <w:rPr>
          <w:rStyle w:val="53"/>
          <w:color w:val="000000"/>
          <w:sz w:val="21"/>
          <w:szCs w:val="21"/>
        </w:rPr>
      </w:pPr>
      <w:r>
        <w:rPr>
          <w:rStyle w:val="53"/>
          <w:color w:val="000000"/>
          <w:sz w:val="21"/>
          <w:szCs w:val="21"/>
        </w:rPr>
        <w:t xml:space="preserve">Nenhuma proposta ou documentação de habilitação poderá ser encaminhada ao(à) </w:t>
      </w:r>
      <w:r>
        <w:rPr>
          <w:sz w:val="21"/>
          <w:szCs w:val="21"/>
        </w:rPr>
        <w:t>Pregoeiro</w:t>
      </w:r>
      <w:r>
        <w:rPr>
          <w:rStyle w:val="53"/>
          <w:color w:val="000000"/>
          <w:sz w:val="21"/>
          <w:szCs w:val="21"/>
        </w:rPr>
        <w:t xml:space="preserve"> por e-mail ou outro meio de comunicação antes do encerramento da etapa competitiva, sob pena de quebra do anonimato da competição e, consequentemente, desclassificação da proposta.</w:t>
      </w:r>
    </w:p>
    <w:p w14:paraId="6E935193">
      <w:pPr>
        <w:pStyle w:val="2"/>
        <w:spacing w:before="360" w:after="0"/>
        <w:rPr>
          <w:sz w:val="21"/>
          <w:szCs w:val="21"/>
        </w:rPr>
      </w:pPr>
      <w:bookmarkStart w:id="15" w:name="_Toc149517438"/>
      <w:r>
        <w:rPr>
          <w:rStyle w:val="53"/>
          <w:sz w:val="21"/>
          <w:szCs w:val="21"/>
        </w:rPr>
        <w:t>CADASTRAMENTO DOS DOCUMENTOS DE HABILITAÇÃO</w:t>
      </w:r>
      <w:bookmarkEnd w:id="15"/>
      <w:r>
        <w:rPr>
          <w:rStyle w:val="53"/>
          <w:sz w:val="21"/>
          <w:szCs w:val="21"/>
        </w:rPr>
        <w:t xml:space="preserve"> </w:t>
      </w:r>
    </w:p>
    <w:p w14:paraId="3F0E28FE">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rStyle w:val="53"/>
          <w:color w:val="000000"/>
          <w:sz w:val="21"/>
          <w:szCs w:val="21"/>
        </w:rPr>
        <w:t xml:space="preserve">O cadastramento dos documentos de habilitação somente será possível após o cadastramento no </w:t>
      </w:r>
      <w:r>
        <w:rPr>
          <w:sz w:val="21"/>
          <w:szCs w:val="21"/>
        </w:rPr>
        <w:t xml:space="preserve">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rStyle w:val="53"/>
          <w:color w:val="000000"/>
          <w:sz w:val="21"/>
          <w:szCs w:val="21"/>
        </w:rPr>
        <w:t>, na forma estabelecida no item “</w:t>
      </w:r>
      <w:r>
        <w:rPr>
          <w:sz w:val="21"/>
          <w:szCs w:val="21"/>
        </w:rPr>
        <w:fldChar w:fldCharType="begin"/>
      </w:r>
      <w:r>
        <w:rPr>
          <w:sz w:val="21"/>
          <w:szCs w:val="21"/>
        </w:rPr>
        <w:instrText xml:space="preserve"> HYPERLINK \l "_CREDENCIAMENTO" \h </w:instrText>
      </w:r>
      <w:r>
        <w:rPr>
          <w:sz w:val="21"/>
          <w:szCs w:val="21"/>
        </w:rPr>
        <w:fldChar w:fldCharType="separate"/>
      </w:r>
      <w:r>
        <w:rPr>
          <w:rStyle w:val="62"/>
          <w:sz w:val="21"/>
          <w:szCs w:val="21"/>
        </w:rPr>
        <w:t>13 – CREDENCIAMENTO</w:t>
      </w:r>
      <w:r>
        <w:rPr>
          <w:rStyle w:val="62"/>
          <w:sz w:val="21"/>
          <w:szCs w:val="21"/>
        </w:rPr>
        <w:fldChar w:fldCharType="end"/>
      </w:r>
      <w:r>
        <w:rPr>
          <w:rStyle w:val="53"/>
          <w:color w:val="000000"/>
          <w:sz w:val="21"/>
          <w:szCs w:val="21"/>
        </w:rPr>
        <w:t>” deste Edital.</w:t>
      </w:r>
    </w:p>
    <w:p w14:paraId="4A639389">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sz w:val="21"/>
          <w:szCs w:val="21"/>
        </w:rPr>
        <w:t>As Microempresas (ME) e as Empresas de Pequeno Porte (EPP) deverão encaminhar a documentação</w:t>
      </w:r>
      <w:r>
        <w:rPr>
          <w:rFonts w:eastAsiaTheme="minorHAnsi"/>
          <w:sz w:val="21"/>
          <w:szCs w:val="21"/>
          <w:lang w:eastAsia="en-US"/>
        </w:rPr>
        <w:t xml:space="preserve"> de habilitação, ainda que haja alguma restrição de regularidade fiscal, social e trabalhista, nos termos do </w:t>
      </w:r>
      <w:r>
        <w:rPr>
          <w:sz w:val="21"/>
          <w:szCs w:val="21"/>
        </w:rPr>
        <w:fldChar w:fldCharType="begin"/>
      </w:r>
      <w:r>
        <w:rPr>
          <w:rStyle w:val="62"/>
          <w:rFonts w:eastAsia="Calibri"/>
          <w:sz w:val="21"/>
          <w:szCs w:val="21"/>
          <w:lang w:eastAsia="en-US"/>
        </w:rPr>
        <w:instrText xml:space="preserve"> HYPERLINK "https://www.planalto.gov.br/ccivil_03/leis/lcp/lcp123.htm" \l "art43"</w:instrText>
      </w:r>
      <w:r>
        <w:rPr>
          <w:rStyle w:val="62"/>
          <w:rFonts w:eastAsia="Calibri"/>
          <w:sz w:val="21"/>
          <w:szCs w:val="21"/>
          <w:lang w:eastAsia="en-US"/>
        </w:rPr>
        <w:fldChar w:fldCharType="separate"/>
      </w:r>
      <w:r>
        <w:rPr>
          <w:rStyle w:val="62"/>
          <w:rFonts w:eastAsiaTheme="minorHAnsi"/>
          <w:sz w:val="21"/>
          <w:szCs w:val="21"/>
          <w:lang w:eastAsia="en-US"/>
        </w:rPr>
        <w:t>art. 43, § 1º, da Lei Complementar Federal nº 123, de 2006</w:t>
      </w:r>
      <w:r>
        <w:rPr>
          <w:rStyle w:val="62"/>
          <w:rFonts w:eastAsia="Calibri"/>
          <w:sz w:val="21"/>
          <w:szCs w:val="21"/>
          <w:lang w:eastAsia="en-US"/>
        </w:rPr>
        <w:fldChar w:fldCharType="end"/>
      </w:r>
      <w:r>
        <w:rPr>
          <w:rFonts w:eastAsiaTheme="minorHAnsi"/>
          <w:sz w:val="21"/>
          <w:szCs w:val="21"/>
          <w:lang w:eastAsia="en-US"/>
        </w:rPr>
        <w:t>.</w:t>
      </w:r>
    </w:p>
    <w:p w14:paraId="2A87322B">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rFonts w:eastAsiaTheme="minorHAnsi"/>
          <w:sz w:val="21"/>
          <w:szCs w:val="21"/>
          <w:lang w:eastAsia="en-US"/>
        </w:rPr>
        <w:t>Até a abertura da sessão pública, os licitantes poderão acrescentar ou substituir a documentos de habilitação anteriormente inseridos no sistema.</w:t>
      </w:r>
    </w:p>
    <w:p w14:paraId="5F04B65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rFonts w:eastAsiaTheme="minorHAnsi"/>
          <w:sz w:val="21"/>
          <w:szCs w:val="21"/>
          <w:lang w:eastAsia="en-US"/>
        </w:rPr>
        <w:t xml:space="preserve">Os documentos que compõem a proposta e a habilitação do licitante melhor classificado somente serão disponibilizados para avaliação do(a) </w:t>
      </w:r>
      <w:r>
        <w:rPr>
          <w:sz w:val="21"/>
          <w:szCs w:val="21"/>
        </w:rPr>
        <w:t>Pregoeiro</w:t>
      </w:r>
      <w:r>
        <w:rPr>
          <w:rFonts w:eastAsiaTheme="minorHAnsi"/>
          <w:sz w:val="21"/>
          <w:szCs w:val="21"/>
          <w:lang w:eastAsia="en-US"/>
        </w:rPr>
        <w:t>, e para acesso público, após o encerramento do envio de lances.</w:t>
      </w:r>
    </w:p>
    <w:p w14:paraId="18ABC282">
      <w:pPr>
        <w:pStyle w:val="50"/>
        <w:numPr>
          <w:ilvl w:val="0"/>
          <w:numId w:val="0"/>
        </w:numPr>
        <w:tabs>
          <w:tab w:val="left" w:pos="1134"/>
        </w:tabs>
        <w:spacing w:before="0" w:beforeAutospacing="0" w:after="0" w:afterAutospacing="0"/>
        <w:ind w:left="567" w:firstLine="0"/>
        <w:jc w:val="both"/>
        <w:textAlignment w:val="baseline"/>
        <w:rPr>
          <w:rFonts w:ascii="Times New Roman" w:hAnsi="Times New Roman"/>
          <w:sz w:val="21"/>
          <w:szCs w:val="21"/>
        </w:rPr>
      </w:pPr>
    </w:p>
    <w:p w14:paraId="7148BB7F">
      <w:pPr>
        <w:pStyle w:val="50"/>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1"/>
          <w:szCs w:val="21"/>
        </w:rPr>
      </w:pPr>
      <w:r>
        <w:rPr>
          <w:rStyle w:val="53"/>
          <w:b/>
          <w:bCs/>
          <w:sz w:val="21"/>
          <w:szCs w:val="21"/>
        </w:rPr>
        <w:t>ABERTURA DA SESSÃO </w:t>
      </w:r>
    </w:p>
    <w:p w14:paraId="6AB4E919">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Na data e horário previstos no item “</w:t>
      </w:r>
      <w:r>
        <w:rPr>
          <w:sz w:val="21"/>
          <w:szCs w:val="21"/>
        </w:rPr>
        <w:fldChar w:fldCharType="begin"/>
      </w:r>
      <w:r>
        <w:rPr>
          <w:sz w:val="21"/>
          <w:szCs w:val="21"/>
        </w:rPr>
        <w:instrText xml:space="preserve"> HYPERLINK \l "_DATA_E_HORÁRIO" \h </w:instrText>
      </w:r>
      <w:r>
        <w:rPr>
          <w:sz w:val="21"/>
          <w:szCs w:val="21"/>
        </w:rPr>
        <w:fldChar w:fldCharType="separate"/>
      </w:r>
      <w:r>
        <w:rPr>
          <w:rStyle w:val="62"/>
          <w:sz w:val="21"/>
          <w:szCs w:val="21"/>
        </w:rPr>
        <w:t>4 - DATA E HORÁRIO</w:t>
      </w:r>
      <w:r>
        <w:rPr>
          <w:rStyle w:val="62"/>
          <w:sz w:val="21"/>
          <w:szCs w:val="21"/>
        </w:rPr>
        <w:fldChar w:fldCharType="end"/>
      </w:r>
      <w:r>
        <w:rPr>
          <w:color w:val="000000"/>
          <w:sz w:val="21"/>
          <w:szCs w:val="21"/>
        </w:rPr>
        <w:t>” deste Edital, a sessão pública na internet será aberta automaticamente pelo sistema.</w:t>
      </w:r>
    </w:p>
    <w:p w14:paraId="2637BEB7">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verificação da conformidade da proposta será feita exclusivamente na fase de julgamento das propostas e em relação à proposta mais bem classificada.</w:t>
      </w:r>
    </w:p>
    <w:p w14:paraId="743DF7F8">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O sistema disponibilizará campo próprio para troca de mensagens entre o(a) </w:t>
      </w:r>
      <w:r>
        <w:rPr>
          <w:sz w:val="21"/>
          <w:szCs w:val="21"/>
        </w:rPr>
        <w:t>Pregoeiro</w:t>
      </w:r>
      <w:r>
        <w:rPr>
          <w:color w:val="000000"/>
          <w:sz w:val="21"/>
          <w:szCs w:val="21"/>
        </w:rPr>
        <w:t xml:space="preserve"> e os Licitantes, vedada outra forma de comunicação.</w:t>
      </w:r>
    </w:p>
    <w:p w14:paraId="3746A8DA">
      <w:pPr>
        <w:pStyle w:val="2"/>
        <w:spacing w:before="360" w:after="0"/>
        <w:rPr>
          <w:sz w:val="21"/>
          <w:szCs w:val="21"/>
        </w:rPr>
      </w:pPr>
      <w:bookmarkStart w:id="16" w:name="_Toc149517439"/>
      <w:r>
        <w:rPr>
          <w:rStyle w:val="53"/>
          <w:sz w:val="21"/>
          <w:szCs w:val="21"/>
        </w:rPr>
        <w:t>FORMULAÇÃO DE LANCES</w:t>
      </w:r>
      <w:bookmarkEnd w:id="16"/>
      <w:r>
        <w:rPr>
          <w:rStyle w:val="53"/>
          <w:sz w:val="21"/>
          <w:szCs w:val="21"/>
        </w:rPr>
        <w:t> </w:t>
      </w:r>
    </w:p>
    <w:p w14:paraId="15172895">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Aberta a etapa competitiva - sessão pública - as licitantes deverão encaminhar lances exclusivamente por meio do sistema eletrônico, sendo a licitante imediatamente informada, </w:t>
      </w:r>
      <w:r>
        <w:rPr>
          <w:i/>
          <w:iCs/>
          <w:color w:val="000000"/>
          <w:sz w:val="21"/>
          <w:szCs w:val="21"/>
        </w:rPr>
        <w:t>on-line</w:t>
      </w:r>
      <w:r>
        <w:rPr>
          <w:color w:val="000000"/>
          <w:sz w:val="21"/>
          <w:szCs w:val="21"/>
        </w:rPr>
        <w:t>, do seu recebimento e do valor consignado no registro.</w:t>
      </w:r>
    </w:p>
    <w:p w14:paraId="35F3CE7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Os lances serão ofertados pelo valor unitário/total do item/lote único.</w:t>
      </w:r>
    </w:p>
    <w:p w14:paraId="03A0431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As licitantes poderão oferecer lances sucessivos, observados o horário fixado para a abertura da sessão pública e as regras estabelecidas neste Edital. </w:t>
      </w:r>
    </w:p>
    <w:p w14:paraId="7302260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Caso o licitante não apresente lances, concorrerá com o valor de sua proposta.</w:t>
      </w:r>
    </w:p>
    <w:p w14:paraId="593E21B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Durante o transcurso da sessão pública, os licitantes serão informados, em tempo real, do valor do menor lance registrado, vedada a identificação do licitante.</w:t>
      </w:r>
    </w:p>
    <w:p w14:paraId="4178DB7E">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A licitante somente poderá oferecer lance inferior ao último por ela ofertado e registrado pelo sistema eletrônico; porém, o lance poderá ser intermediário, ou seja, igual ou superior à melhor oferta registrada (</w:t>
      </w:r>
      <w:r>
        <w:rPr>
          <w:sz w:val="21"/>
          <w:szCs w:val="21"/>
        </w:rPr>
        <w:fldChar w:fldCharType="begin"/>
      </w:r>
      <w:r>
        <w:rPr>
          <w:rStyle w:val="62"/>
          <w:sz w:val="21"/>
          <w:szCs w:val="21"/>
        </w:rPr>
        <w:instrText xml:space="preserve"> HYPERLINK "https://www.planalto.gov.br/ccivil_03/_ato2019-2022/2021/lei/l14133.htm" \l "art56"</w:instrText>
      </w:r>
      <w:r>
        <w:rPr>
          <w:rStyle w:val="62"/>
          <w:sz w:val="21"/>
          <w:szCs w:val="21"/>
        </w:rPr>
        <w:fldChar w:fldCharType="separate"/>
      </w:r>
      <w:r>
        <w:rPr>
          <w:rStyle w:val="62"/>
          <w:sz w:val="21"/>
          <w:szCs w:val="21"/>
        </w:rPr>
        <w:t>art. 56, §3º, II, da Lei Federal nº 14.133, de 2021</w:t>
      </w:r>
      <w:r>
        <w:rPr>
          <w:rStyle w:val="62"/>
          <w:sz w:val="21"/>
          <w:szCs w:val="21"/>
        </w:rPr>
        <w:fldChar w:fldCharType="end"/>
      </w:r>
      <w:r>
        <w:rPr>
          <w:color w:val="000000"/>
          <w:sz w:val="21"/>
          <w:szCs w:val="21"/>
        </w:rPr>
        <w:t>).</w:t>
      </w:r>
    </w:p>
    <w:p w14:paraId="1065BBA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Não serão aceitos dois ou mais lances de mesmo valor, prevalecendo aquele que for</w:t>
      </w:r>
      <w:r>
        <w:rPr>
          <w:color w:val="000000"/>
          <w:sz w:val="21"/>
          <w:szCs w:val="21"/>
        </w:rPr>
        <w:br w:type="textWrapping"/>
      </w:r>
      <w:r>
        <w:rPr>
          <w:color w:val="000000"/>
          <w:sz w:val="21"/>
          <w:szCs w:val="21"/>
        </w:rPr>
        <w:t>recebido e registrado em primeiro lugar.</w:t>
      </w:r>
    </w:p>
    <w:p w14:paraId="184A5A4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Caso seja ofertado lance inconsistente ou inexequível, a licitante poderá, uma única vez, excluir seu último lance ofertado, no interval</w:t>
      </w:r>
      <w:r>
        <w:rPr>
          <w:color w:val="000000"/>
          <w:sz w:val="21"/>
          <w:szCs w:val="21"/>
          <w:shd w:val="clear" w:fill="auto"/>
        </w:rPr>
        <w:t>o de 15 (quinze) segundos após o registro no sistem</w:t>
      </w:r>
      <w:r>
        <w:rPr>
          <w:color w:val="000000"/>
          <w:sz w:val="21"/>
          <w:szCs w:val="21"/>
        </w:rPr>
        <w:t>a.</w:t>
      </w:r>
    </w:p>
    <w:p w14:paraId="703C1C6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Como medida excepcional, o(a) </w:t>
      </w:r>
      <w:r>
        <w:rPr>
          <w:sz w:val="21"/>
          <w:szCs w:val="21"/>
        </w:rPr>
        <w:t>Pregoeiro</w:t>
      </w:r>
      <w:r>
        <w:rPr>
          <w:color w:val="000000"/>
          <w:sz w:val="21"/>
          <w:szCs w:val="21"/>
        </w:rPr>
        <w:t xml:space="preserve">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3073EB5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b/>
          <w:bCs/>
          <w:color w:val="000000"/>
          <w:sz w:val="21"/>
          <w:szCs w:val="21"/>
        </w:rPr>
        <w:t xml:space="preserve">Será adotado para o envio de lances neste </w:t>
      </w:r>
      <w:r>
        <w:rPr>
          <w:rStyle w:val="53"/>
          <w:b/>
          <w:bCs/>
          <w:color w:val="000000" w:themeColor="text1"/>
          <w:sz w:val="21"/>
          <w:szCs w:val="21"/>
          <w14:textFill>
            <w14:solidFill>
              <w14:schemeClr w14:val="tx1"/>
            </w14:solidFill>
          </w14:textFill>
        </w:rPr>
        <w:t>Pregão</w:t>
      </w:r>
      <w:r>
        <w:rPr>
          <w:b/>
          <w:bCs/>
          <w:color w:val="000000"/>
          <w:sz w:val="21"/>
          <w:szCs w:val="21"/>
        </w:rPr>
        <w:t xml:space="preserve"> o modo de disputa “aberto”, em que as licitantes apresentarão lances públicos e sucessivos, </w:t>
      </w:r>
      <w:r>
        <w:rPr>
          <w:b/>
          <w:bCs/>
          <w:color w:val="000000"/>
          <w:sz w:val="21"/>
          <w:szCs w:val="21"/>
          <w:lang w:val="pt-BR"/>
        </w:rPr>
        <w:t xml:space="preserve">inclusive o </w:t>
      </w:r>
      <w:r>
        <w:rPr>
          <w:b/>
          <w:bCs/>
          <w:color w:val="000000"/>
          <w:sz w:val="21"/>
          <w:szCs w:val="21"/>
        </w:rPr>
        <w:t>lance final.</w:t>
      </w:r>
    </w:p>
    <w:p w14:paraId="49D0B7D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shd w:val="clear" w:fill="auto"/>
          <w:lang w:val="pt-BR"/>
        </w:rPr>
        <w:t xml:space="preserve"> O Item aberto para lance, antes de ser encerrado, entrará no tempo de iminência, de 01 (um) a 60 (sessenta) minutos, determinado pelo Pregoeiro(a). Decorrido o tempo de iminência, o item entrará no modo de disputa aberto, o qual terá a duração mínima de 10 (dez) minutos</w:t>
      </w:r>
    </w:p>
    <w:p w14:paraId="11A90C2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lang w:val="pt-BR"/>
        </w:rPr>
        <w:t>O tempo de que trata o item 15.11, será prorrogado automaticamente pelo sistema quando houver lance ofertado nos 02 (dois) últimos minutos do período de duração</w:t>
      </w:r>
      <w:r>
        <w:rPr>
          <w:color w:val="000000"/>
          <w:sz w:val="21"/>
          <w:szCs w:val="21"/>
        </w:rPr>
        <w:t>.</w:t>
      </w:r>
    </w:p>
    <w:p w14:paraId="7EA50CD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lang w:val="pt-BR"/>
        </w:rPr>
        <w:t>O período de duração da disputa será prorrogado automaticamente por mais 02 (dois) minutos, sempre que houver lance enviado no período de prorrogação de que trata o item 15.12</w:t>
      </w:r>
      <w:r>
        <w:rPr>
          <w:color w:val="000000"/>
          <w:sz w:val="21"/>
          <w:szCs w:val="21"/>
        </w:rPr>
        <w:t xml:space="preserve">. </w:t>
      </w:r>
    </w:p>
    <w:p w14:paraId="752B6C1B">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lang w:val="pt-BR"/>
        </w:rPr>
        <w:t>Na hipótese de não haver novos lances nos termos do subitem 15.12. a disputa será encerrada automaticamente.</w:t>
      </w:r>
    </w:p>
    <w:p w14:paraId="1F146AD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Os lances apresentados e levados em consideração para efeito de julgamento serão de exclusiva e total responsabilidade de cada licitante, não lhe cabendo o direito de pleitear qualquer alteração posterior.</w:t>
      </w:r>
    </w:p>
    <w:p w14:paraId="1C1F42D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Durante a etapa de disputa de lances, o Pregoeiro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116FF6A3">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Após o término dos prazos estabelecidos nos itens anteriores, o sistema ordenará os lances segundo a ordem crescente de valores.</w:t>
      </w:r>
    </w:p>
    <w:p w14:paraId="5389408F">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As licitantes serão informadas, em tempo real, do valor do melhor lance registrado, durante a sessão pública do </w:t>
      </w:r>
      <w:r>
        <w:rPr>
          <w:rStyle w:val="53"/>
          <w:color w:val="000000" w:themeColor="text1"/>
          <w:sz w:val="21"/>
          <w:szCs w:val="21"/>
          <w14:textFill>
            <w14:solidFill>
              <w14:schemeClr w14:val="tx1"/>
            </w14:solidFill>
          </w14:textFill>
        </w:rPr>
        <w:t>Pregão</w:t>
      </w:r>
      <w:r>
        <w:rPr>
          <w:color w:val="000000"/>
          <w:sz w:val="21"/>
          <w:szCs w:val="21"/>
        </w:rPr>
        <w:t>, sendo vedada a identificação do seu detentor.</w:t>
      </w:r>
    </w:p>
    <w:p w14:paraId="73A7F2D8">
      <w:pPr>
        <w:pStyle w:val="2"/>
        <w:spacing w:before="360" w:after="0"/>
        <w:rPr>
          <w:sz w:val="21"/>
          <w:szCs w:val="21"/>
        </w:rPr>
      </w:pPr>
      <w:bookmarkStart w:id="17" w:name="_Toc149517440"/>
      <w:r>
        <w:rPr>
          <w:rStyle w:val="53"/>
          <w:sz w:val="21"/>
          <w:szCs w:val="21"/>
        </w:rPr>
        <w:t>DESCONEXÃO DO</w:t>
      </w:r>
      <w:bookmarkEnd w:id="17"/>
      <w:r>
        <w:rPr>
          <w:rStyle w:val="53"/>
          <w:sz w:val="21"/>
          <w:szCs w:val="21"/>
        </w:rPr>
        <w:t xml:space="preserve"> PREGOEIRO</w:t>
      </w:r>
    </w:p>
    <w:p w14:paraId="4DAF16B1">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No caso de desconexão do </w:t>
      </w:r>
      <w:r>
        <w:rPr>
          <w:sz w:val="21"/>
          <w:szCs w:val="21"/>
        </w:rPr>
        <w:t>Pregoeiro</w:t>
      </w:r>
      <w:r>
        <w:rPr>
          <w:color w:val="000000"/>
          <w:sz w:val="21"/>
          <w:szCs w:val="21"/>
        </w:rPr>
        <w:t xml:space="preserve">, no decorrer da etapa competitiva do </w:t>
      </w:r>
      <w:r>
        <w:rPr>
          <w:rStyle w:val="53"/>
          <w:color w:val="000000" w:themeColor="text1"/>
          <w:sz w:val="21"/>
          <w:szCs w:val="21"/>
          <w14:textFill>
            <w14:solidFill>
              <w14:schemeClr w14:val="tx1"/>
            </w14:solidFill>
          </w14:textFill>
        </w:rPr>
        <w:t>Pregão</w:t>
      </w:r>
      <w:r>
        <w:rPr>
          <w:color w:val="000000"/>
          <w:sz w:val="21"/>
          <w:szCs w:val="21"/>
        </w:rPr>
        <w:t xml:space="preserve">, o sistema poderá permanecer acessível às licitantes para a recepção dos lances, retornando o </w:t>
      </w:r>
      <w:r>
        <w:rPr>
          <w:sz w:val="21"/>
          <w:szCs w:val="21"/>
        </w:rPr>
        <w:t>Pregoeiro</w:t>
      </w:r>
      <w:r>
        <w:rPr>
          <w:color w:val="000000"/>
          <w:sz w:val="21"/>
          <w:szCs w:val="21"/>
        </w:rPr>
        <w:t>, quando possível, sua atuação no certame, sem prejuízo dos atos realizados.</w:t>
      </w:r>
    </w:p>
    <w:p w14:paraId="244DACA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Quando a desconexão do </w:t>
      </w:r>
      <w:r>
        <w:rPr>
          <w:sz w:val="21"/>
          <w:szCs w:val="21"/>
        </w:rPr>
        <w:t>Pregoeiro</w:t>
      </w:r>
      <w:r>
        <w:rPr>
          <w:color w:val="000000"/>
          <w:sz w:val="21"/>
          <w:szCs w:val="21"/>
        </w:rPr>
        <w:t xml:space="preserve"> persistir </w:t>
      </w:r>
      <w:r>
        <w:rPr>
          <w:sz w:val="21"/>
          <w:szCs w:val="21"/>
        </w:rPr>
        <w:t>por</w:t>
      </w:r>
      <w:r>
        <w:rPr>
          <w:color w:val="000000"/>
          <w:sz w:val="21"/>
          <w:szCs w:val="21"/>
        </w:rPr>
        <w:t xml:space="preserve"> tempo superior a 10 (dez) minutos, a sessão do </w:t>
      </w:r>
      <w:r>
        <w:rPr>
          <w:rStyle w:val="53"/>
          <w:color w:val="000000" w:themeColor="text1"/>
          <w:sz w:val="21"/>
          <w:szCs w:val="21"/>
          <w14:textFill>
            <w14:solidFill>
              <w14:schemeClr w14:val="tx1"/>
            </w14:solidFill>
          </w14:textFill>
        </w:rPr>
        <w:t>Pregão</w:t>
      </w:r>
      <w:r>
        <w:rPr>
          <w:color w:val="000000"/>
          <w:sz w:val="21"/>
          <w:szCs w:val="21"/>
        </w:rPr>
        <w:t xml:space="preserve"> será suspensa e reiniciada somente após a comunicação expressa aos participantes, com no mínimo, 12 (doze) horas de antecedência, no </w:t>
      </w:r>
      <w:r>
        <w:rPr>
          <w:sz w:val="21"/>
          <w:szCs w:val="21"/>
        </w:rPr>
        <w:t xml:space="preserve">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color w:val="000000"/>
          <w:sz w:val="21"/>
          <w:szCs w:val="21"/>
        </w:rPr>
        <w:t>.</w:t>
      </w:r>
    </w:p>
    <w:p w14:paraId="10F2CE3D">
      <w:pPr>
        <w:pStyle w:val="2"/>
        <w:spacing w:before="360" w:after="0"/>
        <w:rPr>
          <w:sz w:val="21"/>
          <w:szCs w:val="21"/>
        </w:rPr>
      </w:pPr>
      <w:bookmarkStart w:id="18" w:name="_Toc149517441"/>
      <w:r>
        <w:rPr>
          <w:rStyle w:val="53"/>
          <w:sz w:val="21"/>
          <w:szCs w:val="21"/>
        </w:rPr>
        <w:t>BENEFÍCIOS ÀS MICROEMPRESAS</w:t>
      </w:r>
      <w:r>
        <w:rPr>
          <w:rStyle w:val="53"/>
          <w:sz w:val="21"/>
          <w:szCs w:val="21"/>
          <w:lang w:val="pt-BR"/>
        </w:rPr>
        <w:t>,</w:t>
      </w:r>
      <w:r>
        <w:rPr>
          <w:rStyle w:val="53"/>
          <w:sz w:val="21"/>
          <w:szCs w:val="21"/>
        </w:rPr>
        <w:t xml:space="preserve"> EMPRESAS DE PEQUENO PORTE</w:t>
      </w:r>
      <w:bookmarkEnd w:id="18"/>
      <w:r>
        <w:rPr>
          <w:rStyle w:val="53"/>
          <w:sz w:val="21"/>
          <w:szCs w:val="21"/>
          <w:lang w:val="pt-BR"/>
        </w:rPr>
        <w:t xml:space="preserve"> E REGIONAIS</w:t>
      </w:r>
    </w:p>
    <w:p w14:paraId="4E3D3A44">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A obtenção de benefícios previstos dos </w:t>
      </w:r>
      <w:r>
        <w:rPr>
          <w:sz w:val="21"/>
          <w:szCs w:val="21"/>
        </w:rPr>
        <w:fldChar w:fldCharType="begin"/>
      </w:r>
      <w:r>
        <w:rPr>
          <w:rStyle w:val="62"/>
          <w:sz w:val="21"/>
          <w:szCs w:val="21"/>
        </w:rPr>
        <w:instrText xml:space="preserve"> HYPERLINK "https://www.planalto.gov.br/ccivil_03/leis/lcp/lcp123.htm" \l "art42"</w:instrText>
      </w:r>
      <w:r>
        <w:rPr>
          <w:rStyle w:val="62"/>
          <w:sz w:val="21"/>
          <w:szCs w:val="21"/>
        </w:rPr>
        <w:fldChar w:fldCharType="separate"/>
      </w:r>
      <w:r>
        <w:rPr>
          <w:rStyle w:val="62"/>
          <w:sz w:val="21"/>
          <w:szCs w:val="21"/>
        </w:rPr>
        <w:t>artigos 42 a 49 da Lei Complementar Federal nº 123, de 2006</w:t>
      </w:r>
      <w:r>
        <w:rPr>
          <w:rStyle w:val="62"/>
          <w:sz w:val="21"/>
          <w:szCs w:val="21"/>
        </w:rPr>
        <w:fldChar w:fldCharType="end"/>
      </w:r>
      <w:r>
        <w:rPr>
          <w:color w:val="000000"/>
          <w:sz w:val="21"/>
          <w:szCs w:val="21"/>
        </w:rPr>
        <w:t xml:space="preserve"> fica limitada às microempresas (ME) e às empresas de pequeno porte (EPP)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para fins de habilitação.</w:t>
      </w:r>
    </w:p>
    <w:p w14:paraId="1A0D8A31">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O licitante enquadrado como microempresa ou empresa de pequeno porte deverá declarar, ainda, em campo próprio do sistema eletrônico, que cumpre os requisitos estabelecidos no </w:t>
      </w:r>
      <w:r>
        <w:rPr>
          <w:sz w:val="21"/>
          <w:szCs w:val="21"/>
        </w:rPr>
        <w:fldChar w:fldCharType="begin"/>
      </w:r>
      <w:r>
        <w:rPr>
          <w:rStyle w:val="62"/>
          <w:sz w:val="21"/>
          <w:szCs w:val="21"/>
        </w:rPr>
        <w:instrText xml:space="preserve"> HYPERLINK "https://www.planalto.gov.br/ccivil_03/leis/lcp/lcp123.htm" \l "art3"</w:instrText>
      </w:r>
      <w:r>
        <w:rPr>
          <w:rStyle w:val="62"/>
          <w:sz w:val="21"/>
          <w:szCs w:val="21"/>
        </w:rPr>
        <w:fldChar w:fldCharType="separate"/>
      </w:r>
      <w:r>
        <w:rPr>
          <w:rStyle w:val="62"/>
          <w:sz w:val="21"/>
          <w:szCs w:val="21"/>
        </w:rPr>
        <w:t>artigo 3° da Lei Complementar Federal nº 123, de 2006</w:t>
      </w:r>
      <w:r>
        <w:rPr>
          <w:rStyle w:val="62"/>
          <w:sz w:val="21"/>
          <w:szCs w:val="21"/>
        </w:rPr>
        <w:fldChar w:fldCharType="end"/>
      </w:r>
      <w:r>
        <w:rPr>
          <w:sz w:val="21"/>
          <w:szCs w:val="21"/>
        </w:rPr>
        <w:t xml:space="preserve">, estando apto a usufruir do tratamento favorecido estabelecido nos </w:t>
      </w:r>
      <w:r>
        <w:rPr>
          <w:sz w:val="21"/>
          <w:szCs w:val="21"/>
        </w:rPr>
        <w:fldChar w:fldCharType="begin"/>
      </w:r>
      <w:r>
        <w:rPr>
          <w:rStyle w:val="62"/>
          <w:sz w:val="21"/>
          <w:szCs w:val="21"/>
        </w:rPr>
        <w:instrText xml:space="preserve"> HYPERLINK "https://www.planalto.gov.br/ccivil_03/leis/lcp/lcp123.htm" \l "art42"</w:instrText>
      </w:r>
      <w:r>
        <w:rPr>
          <w:rStyle w:val="62"/>
          <w:sz w:val="21"/>
          <w:szCs w:val="21"/>
        </w:rPr>
        <w:fldChar w:fldCharType="separate"/>
      </w:r>
      <w:r>
        <w:rPr>
          <w:rStyle w:val="62"/>
          <w:sz w:val="21"/>
          <w:szCs w:val="21"/>
        </w:rPr>
        <w:t>arts. 42 a 49 da Lei Complementar Federal nº 123, de 2006</w:t>
      </w:r>
      <w:r>
        <w:rPr>
          <w:rStyle w:val="62"/>
          <w:sz w:val="21"/>
          <w:szCs w:val="21"/>
        </w:rPr>
        <w:fldChar w:fldCharType="end"/>
      </w:r>
      <w:r>
        <w:rPr>
          <w:sz w:val="21"/>
          <w:szCs w:val="21"/>
        </w:rPr>
        <w:t xml:space="preserve">, observado o disposto nos </w:t>
      </w:r>
      <w:r>
        <w:rPr>
          <w:sz w:val="21"/>
          <w:szCs w:val="21"/>
        </w:rPr>
        <w:fldChar w:fldCharType="begin"/>
      </w:r>
      <w:r>
        <w:rPr>
          <w:rStyle w:val="62"/>
          <w:sz w:val="21"/>
          <w:szCs w:val="21"/>
        </w:rPr>
        <w:instrText xml:space="preserve"> HYPERLINK "http://www.planalto.gov.br/ccivil_03/_ato2019-2022/2021/lei/L14133.htm" \l "art4§1"</w:instrText>
      </w:r>
      <w:r>
        <w:rPr>
          <w:rStyle w:val="62"/>
          <w:sz w:val="21"/>
          <w:szCs w:val="21"/>
        </w:rPr>
        <w:fldChar w:fldCharType="separate"/>
      </w:r>
      <w:r>
        <w:rPr>
          <w:rStyle w:val="62"/>
          <w:sz w:val="21"/>
          <w:szCs w:val="21"/>
        </w:rPr>
        <w:t>art. 4º, §§ 1º ao 3º, da Lei Federal nº 14.133, de 2021.</w:t>
      </w:r>
      <w:r>
        <w:rPr>
          <w:rStyle w:val="62"/>
          <w:sz w:val="21"/>
          <w:szCs w:val="21"/>
        </w:rPr>
        <w:fldChar w:fldCharType="end"/>
      </w:r>
    </w:p>
    <w:p w14:paraId="512C21E3">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Após a fase de lances, o sistema </w:t>
      </w:r>
      <w:r>
        <w:rPr>
          <w:sz w:val="21"/>
          <w:szCs w:val="21"/>
        </w:rPr>
        <w:t>identificará</w:t>
      </w:r>
      <w:r>
        <w:rPr>
          <w:color w:val="000000"/>
          <w:sz w:val="21"/>
          <w:szCs w:val="21"/>
        </w:rPr>
        <w:t xml:space="preserve">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w:t>
      </w:r>
      <w:r>
        <w:rPr>
          <w:sz w:val="21"/>
          <w:szCs w:val="21"/>
        </w:rPr>
        <w:t>Pregoeiro</w:t>
      </w:r>
      <w:r>
        <w:rPr>
          <w:color w:val="000000"/>
          <w:sz w:val="21"/>
          <w:szCs w:val="21"/>
        </w:rPr>
        <w:t xml:space="preserve"> e do fornecedor e encaminhada em</w:t>
      </w:r>
      <w:r>
        <w:rPr>
          <w:color w:val="00B050"/>
          <w:sz w:val="21"/>
          <w:szCs w:val="21"/>
        </w:rPr>
        <w:t xml:space="preserve"> </w:t>
      </w:r>
      <w:r>
        <w:rPr>
          <w:color w:val="000000"/>
          <w:sz w:val="21"/>
          <w:szCs w:val="21"/>
        </w:rPr>
        <w:t>mensagem por meio de </w:t>
      </w:r>
      <w:r>
        <w:rPr>
          <w:i/>
          <w:iCs/>
          <w:color w:val="000000"/>
          <w:sz w:val="21"/>
          <w:szCs w:val="21"/>
        </w:rPr>
        <w:t>chat</w:t>
      </w:r>
      <w:r>
        <w:rPr>
          <w:color w:val="000000"/>
          <w:sz w:val="21"/>
          <w:szCs w:val="21"/>
        </w:rPr>
        <w:t>.</w:t>
      </w:r>
    </w:p>
    <w:p w14:paraId="1BA54A7E">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Quanto aos ITENS, na fase de PROPOSTA será concedido TRATAMENTO DIFERENCIADO às ME's e EPP's, caso a proposta mais bem classificada tenha sido ofertada por empresa de médio ou grande porte e haja proposta apresentada por ME/EPP de valor até 10% (dez por cento) superior ao da melhor proposta, oportunidade em que o Portal Licitanet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sz w:val="21"/>
          <w:szCs w:val="21"/>
        </w:rPr>
        <w:t>), automaticamente, procederá da seguinte forma:</w:t>
      </w:r>
    </w:p>
    <w:p w14:paraId="16B45E0F">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A ME/EPP mais bem classificada poderá, no prazo de 5 (cinco) minutos, apresentar proposta de preço inferior a do licitante mais bem classificado e, atendidas as exigências deste Edital e seus Anexos, será reclassificada como melhor proposta do certame;</w:t>
      </w:r>
    </w:p>
    <w:p w14:paraId="4950315B">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 xml:space="preserve">não sendo registrado um novo lance pela ME/EPP convocada através do sistema na forma do subitem anterior, e havendo outros licitantes que se enquadrem na condição prevista no </w:t>
      </w:r>
      <w:r>
        <w:rPr>
          <w:i/>
          <w:iCs/>
          <w:sz w:val="21"/>
          <w:szCs w:val="21"/>
        </w:rPr>
        <w:t>caput</w:t>
      </w:r>
      <w:r>
        <w:rPr>
          <w:sz w:val="21"/>
          <w:szCs w:val="21"/>
        </w:rPr>
        <w:t>, estes serão convocados, na ordem classificatória, para o exercício do mesmo direito, também no prazo de 5 (cinco) minutos;</w:t>
      </w:r>
    </w:p>
    <w:p w14:paraId="735358E1">
      <w:pPr>
        <w:pStyle w:val="50"/>
        <w:numPr>
          <w:ilvl w:val="2"/>
          <w:numId w:val="1"/>
        </w:numPr>
        <w:tabs>
          <w:tab w:val="left" w:pos="1134"/>
        </w:tabs>
        <w:spacing w:before="0" w:beforeAutospacing="0" w:after="0" w:afterAutospacing="0"/>
        <w:jc w:val="both"/>
        <w:textAlignment w:val="baseline"/>
        <w:rPr>
          <w:sz w:val="21"/>
          <w:szCs w:val="21"/>
        </w:rPr>
      </w:pPr>
      <w:r>
        <w:rPr>
          <w:sz w:val="21"/>
          <w:szCs w:val="21"/>
        </w:rPr>
        <w:t xml:space="preserve">havendo empate de valor entre duas empresas beneficiárias do direito de preferência fixada na </w:t>
      </w:r>
      <w:r>
        <w:rPr>
          <w:sz w:val="21"/>
          <w:szCs w:val="21"/>
        </w:rPr>
        <w:fldChar w:fldCharType="begin"/>
      </w:r>
      <w:r>
        <w:rPr>
          <w:sz w:val="21"/>
          <w:szCs w:val="21"/>
        </w:rPr>
        <w:instrText xml:space="preserve"> HYPERLINK "https://www.planalto.gov.br/ccivil_03/leis/lcp/lcp123.htm" \h </w:instrText>
      </w:r>
      <w:r>
        <w:rPr>
          <w:sz w:val="21"/>
          <w:szCs w:val="21"/>
        </w:rPr>
        <w:fldChar w:fldCharType="separate"/>
      </w:r>
      <w:r>
        <w:rPr>
          <w:rStyle w:val="62"/>
          <w:sz w:val="21"/>
          <w:szCs w:val="21"/>
        </w:rPr>
        <w:t>Lei Complementar Federal nº 123, de 2006</w:t>
      </w:r>
      <w:r>
        <w:rPr>
          <w:rStyle w:val="62"/>
          <w:sz w:val="21"/>
          <w:szCs w:val="21"/>
        </w:rPr>
        <w:fldChar w:fldCharType="end"/>
      </w:r>
      <w:r>
        <w:rPr>
          <w:sz w:val="21"/>
          <w:szCs w:val="21"/>
        </w:rPr>
        <w:t>, exercerá tal direito prioritariamente aquela cuja proposta tenha sido recebida e registrada pelo sistema primeiramente;</w:t>
      </w:r>
    </w:p>
    <w:p w14:paraId="6FC61CF6">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o sistema encaminhará mensagem automática, por meio do “chat”, convocando a ME/EPP mais bem classificada a fazer sua última oferta no prazo de 5 (cinco) minutos, sob pena de decadência do direito concedido;</w:t>
      </w:r>
    </w:p>
    <w:p w14:paraId="4535590B">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na hipótese em que nenhuma dos licitantes exerça o direito de tratamento diferenciado, será mantida a ordem classificatória do certame.</w:t>
      </w:r>
    </w:p>
    <w:p w14:paraId="4E77218C">
      <w:pPr>
        <w:pStyle w:val="50"/>
        <w:numPr>
          <w:ilvl w:val="1"/>
          <w:numId w:val="1"/>
        </w:numPr>
        <w:tabs>
          <w:tab w:val="left" w:pos="1134"/>
        </w:tabs>
        <w:spacing w:before="0" w:beforeAutospacing="0" w:after="0" w:afterAutospacing="0"/>
        <w:ind w:left="705" w:leftChars="0" w:firstLineChars="0"/>
        <w:jc w:val="both"/>
        <w:textAlignment w:val="baseline"/>
        <w:rPr>
          <w:sz w:val="21"/>
          <w:szCs w:val="21"/>
        </w:rPr>
      </w:pPr>
      <w:r>
        <w:rPr>
          <w:sz w:val="21"/>
          <w:szCs w:val="21"/>
        </w:rPr>
        <w:t xml:space="preserve">Na fase de HABILITAÇÃO, será concedido TRATAMENTO DIFERENCIADO às ME's/EPP's que estejam com problemas de REGULARIDADE FISCAL, SOCIAL E TRABALHISTA, à luz do disposto nos </w:t>
      </w:r>
      <w:r>
        <w:rPr>
          <w:sz w:val="21"/>
          <w:szCs w:val="21"/>
        </w:rPr>
        <w:fldChar w:fldCharType="begin"/>
      </w:r>
      <w:r>
        <w:rPr>
          <w:rStyle w:val="62"/>
          <w:sz w:val="21"/>
          <w:szCs w:val="21"/>
        </w:rPr>
        <w:instrText xml:space="preserve"> HYPERLINK "https://www.planalto.gov.br/ccivil_03/leis/lcp/lcp123.htm" \l "art42"</w:instrText>
      </w:r>
      <w:r>
        <w:rPr>
          <w:rStyle w:val="62"/>
          <w:sz w:val="21"/>
          <w:szCs w:val="21"/>
        </w:rPr>
        <w:fldChar w:fldCharType="separate"/>
      </w:r>
      <w:r>
        <w:rPr>
          <w:rStyle w:val="62"/>
          <w:sz w:val="21"/>
          <w:szCs w:val="21"/>
        </w:rPr>
        <w:t>arts. 42 e 43 da Lei Complementar Federal nº 123, de 2006</w:t>
      </w:r>
      <w:r>
        <w:rPr>
          <w:rStyle w:val="62"/>
          <w:sz w:val="21"/>
          <w:szCs w:val="21"/>
        </w:rPr>
        <w:fldChar w:fldCharType="end"/>
      </w:r>
      <w:r>
        <w:rPr>
          <w:sz w:val="21"/>
          <w:szCs w:val="21"/>
        </w:rPr>
        <w:t>, conforme as seguintes regras:</w:t>
      </w:r>
    </w:p>
    <w:p w14:paraId="696BCA3D">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em se tratando de ME/EPP com alguma RESTRIÇÃO na comprovação da HABILITAÇÃO FISCAL, SOCIAL E TRABALHISTA, deverá(ão) ser apresentada(s) e juntada(s) aos autos a(s) respectiva(s) certidão(ões) com validade vencida ou com restrição, sendo aceita a situação parcial de irregularidade ali comprovada, julgando-se “habilitada” no certame empresa(s) nessa situação;</w:t>
      </w:r>
    </w:p>
    <w:p w14:paraId="0DED44C3">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será assegurado o prazo de 5 (cinco) dias úteis, prorrogáveis por igual período, a critério da Administração, para a regularização da documentação, pagamento ou parcelamento do débito, e emissão de eventuais certidões;</w:t>
      </w:r>
    </w:p>
    <w:p w14:paraId="307276A5">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a não regularização da documentação fiscal, social ou trabalhista, implicará na decadência do direito à contratação, sem prejuízo das sanções previstas neste Edital e seus Anexos;</w:t>
      </w:r>
    </w:p>
    <w:p w14:paraId="25A33831">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no caso de decadência do direito por não regularização da situação, será facultada à Câmara Municipal de Primavera do Leste – MT a convocação dos licitantes remanescentes, na ordem de classificação.</w:t>
      </w:r>
    </w:p>
    <w:p w14:paraId="426251F5">
      <w:pPr>
        <w:pStyle w:val="50"/>
        <w:numPr>
          <w:ilvl w:val="1"/>
          <w:numId w:val="1"/>
        </w:numPr>
        <w:tabs>
          <w:tab w:val="left" w:pos="1134"/>
        </w:tabs>
        <w:spacing w:before="0" w:beforeAutospacing="0" w:after="0" w:afterAutospacing="0"/>
        <w:ind w:left="705" w:leftChars="0" w:firstLineChars="0"/>
        <w:jc w:val="both"/>
        <w:textAlignment w:val="baseline"/>
        <w:rPr>
          <w:rFonts w:ascii="Times New Roman" w:hAnsi="Times New Roman"/>
          <w:sz w:val="21"/>
          <w:szCs w:val="21"/>
        </w:rPr>
      </w:pPr>
      <w:r>
        <w:rPr>
          <w:sz w:val="21"/>
          <w:szCs w:val="21"/>
          <w:lang w:val="pt-BR"/>
        </w:rPr>
        <w:t xml:space="preserve">A fim de cumprir o disposto no </w:t>
      </w:r>
      <w:r>
        <w:rPr>
          <w:b/>
          <w:bCs/>
          <w:sz w:val="21"/>
          <w:szCs w:val="21"/>
          <w:lang w:val="pt-BR"/>
        </w:rPr>
        <w:t>Artigo 3º da Lei Municipal 1.953 de 27/05/2021</w:t>
      </w:r>
      <w:r>
        <w:rPr>
          <w:sz w:val="21"/>
          <w:szCs w:val="21"/>
          <w:lang w:val="pt-BR"/>
        </w:rPr>
        <w:t xml:space="preserve">, a prioridade de contratação com a microempresas e empresas de pequeno porte sediadas local ou regionalmente, até o limite de </w:t>
      </w:r>
      <w:r>
        <w:rPr>
          <w:b/>
          <w:bCs/>
          <w:sz w:val="21"/>
          <w:szCs w:val="21"/>
          <w:lang w:val="pt-BR"/>
        </w:rPr>
        <w:t>10% (dez por cento)</w:t>
      </w:r>
      <w:r>
        <w:rPr>
          <w:sz w:val="21"/>
          <w:szCs w:val="21"/>
          <w:lang w:val="pt-BR"/>
        </w:rPr>
        <w:t xml:space="preserve"> do melhor preço válido, proporciona a está o direito de ofertar um preço menor do que aquela classificada (empate Ficto).</w:t>
      </w:r>
    </w:p>
    <w:p w14:paraId="4B8649FE">
      <w:pPr>
        <w:pStyle w:val="50"/>
        <w:numPr>
          <w:ilvl w:val="1"/>
          <w:numId w:val="1"/>
        </w:numPr>
        <w:tabs>
          <w:tab w:val="left" w:pos="1134"/>
        </w:tabs>
        <w:spacing w:before="0" w:beforeAutospacing="0" w:after="0" w:afterAutospacing="0"/>
        <w:ind w:left="705" w:leftChars="0" w:firstLineChars="0"/>
        <w:jc w:val="both"/>
        <w:textAlignment w:val="baseline"/>
        <w:rPr>
          <w:rFonts w:ascii="Times New Roman" w:hAnsi="Times New Roman"/>
          <w:sz w:val="21"/>
          <w:szCs w:val="21"/>
        </w:rPr>
      </w:pPr>
      <w:r>
        <w:rPr>
          <w:sz w:val="21"/>
          <w:szCs w:val="21"/>
          <w:lang w:val="pt-BR"/>
        </w:rPr>
        <w:t>Em consonância com o Anexo IV da Lei nº 10.340, de 19 de novembro de 2015 pertencem a regionalidade da REGIÃO V – SUDESTE as cidades: Rondonópolis (Cidade Polo), Gaúcha do Norte, Paranatinga, Santo Antônio do Leste, Campo Verde, Primavera do Leste, Dom Aquino, Poxoréu, Tesouro, Jaciara, São Pedro da Cipa, Juscimeira, Pedra Preta, Guiratinga, São José do Povo, Alto Garças, Itiquira, Alto Araguaia, Alto Taquari.</w:t>
      </w:r>
    </w:p>
    <w:p w14:paraId="367777E2">
      <w:pPr>
        <w:pStyle w:val="50"/>
        <w:numPr>
          <w:ilvl w:val="1"/>
          <w:numId w:val="1"/>
        </w:numPr>
        <w:tabs>
          <w:tab w:val="left" w:pos="1134"/>
        </w:tabs>
        <w:spacing w:before="0" w:beforeAutospacing="0" w:after="0" w:afterAutospacing="0"/>
        <w:ind w:left="705" w:leftChars="0" w:firstLineChars="0"/>
        <w:jc w:val="both"/>
        <w:textAlignment w:val="baseline"/>
        <w:rPr>
          <w:rFonts w:ascii="Times New Roman" w:hAnsi="Times New Roman"/>
          <w:sz w:val="21"/>
          <w:szCs w:val="21"/>
        </w:rPr>
      </w:pPr>
      <w:r>
        <w:rPr>
          <w:sz w:val="21"/>
          <w:szCs w:val="21"/>
          <w:lang w:val="pt-BR"/>
        </w:rPr>
        <w:t>Realizada  etapa descrita no item 18.7, e não havendo menor proposta por parte de ME e EPP sediadas local ou regionalmente, será aberta a possibilidade de que outras ME e EPP possam oferecer proposta inferior a melhor proposta, desde que seja até 5% maior (empate ficto).</w:t>
      </w:r>
    </w:p>
    <w:p w14:paraId="4A7D74A0">
      <w:pPr>
        <w:pStyle w:val="2"/>
        <w:spacing w:before="360" w:after="0"/>
        <w:rPr>
          <w:sz w:val="21"/>
          <w:szCs w:val="21"/>
        </w:rPr>
      </w:pPr>
      <w:bookmarkStart w:id="19" w:name="_Toc149517442"/>
      <w:r>
        <w:rPr>
          <w:rStyle w:val="53"/>
          <w:sz w:val="21"/>
          <w:szCs w:val="21"/>
        </w:rPr>
        <w:t>EMPATE FICTO</w:t>
      </w:r>
      <w:bookmarkEnd w:id="19"/>
    </w:p>
    <w:p w14:paraId="265D318B">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Se o melhor lance for ofertado por licitante que não se enquadre na condição de ME ou EPP, o sistema facultará a estas o exercício do direito de preferência para fins de desempate, conforme determina o </w:t>
      </w:r>
      <w:r>
        <w:rPr>
          <w:sz w:val="21"/>
          <w:szCs w:val="21"/>
        </w:rPr>
        <w:fldChar w:fldCharType="begin"/>
      </w:r>
      <w:r>
        <w:rPr>
          <w:rStyle w:val="62"/>
          <w:sz w:val="21"/>
          <w:szCs w:val="21"/>
        </w:rPr>
        <w:instrText xml:space="preserve"> HYPERLINK "https://www.planalto.gov.br/ccivil_03/leis/lcp/lcp123.htm" \l "art44"</w:instrText>
      </w:r>
      <w:r>
        <w:rPr>
          <w:rStyle w:val="62"/>
          <w:sz w:val="21"/>
          <w:szCs w:val="21"/>
        </w:rPr>
        <w:fldChar w:fldCharType="separate"/>
      </w:r>
      <w:r>
        <w:rPr>
          <w:rStyle w:val="62"/>
          <w:sz w:val="21"/>
          <w:szCs w:val="21"/>
        </w:rPr>
        <w:t>art. 44, §2º, da Lei Complementar Federal nº 123, de 2006</w:t>
      </w:r>
      <w:r>
        <w:rPr>
          <w:rStyle w:val="62"/>
          <w:sz w:val="21"/>
          <w:szCs w:val="21"/>
        </w:rPr>
        <w:fldChar w:fldCharType="end"/>
      </w:r>
      <w:r>
        <w:rPr>
          <w:color w:val="000000"/>
          <w:sz w:val="21"/>
          <w:szCs w:val="21"/>
        </w:rPr>
        <w:t xml:space="preserve">, momento no qual a ME ou EPP mais bem classificada será convocada para apresentar nova proposta, no prazo máximo </w:t>
      </w:r>
      <w:r>
        <w:rPr>
          <w:color w:val="000000"/>
          <w:sz w:val="21"/>
          <w:szCs w:val="21"/>
          <w:shd w:val="clear" w:fill="auto"/>
        </w:rPr>
        <w:t>de 5 (cinco) mi</w:t>
      </w:r>
      <w:r>
        <w:rPr>
          <w:color w:val="000000"/>
          <w:sz w:val="21"/>
          <w:szCs w:val="21"/>
        </w:rPr>
        <w:t xml:space="preserve">nutos controlados pelo sistema, sob pena de preclusão, consoante determina o </w:t>
      </w:r>
      <w:r>
        <w:rPr>
          <w:sz w:val="21"/>
          <w:szCs w:val="21"/>
        </w:rPr>
        <w:fldChar w:fldCharType="begin"/>
      </w:r>
      <w:r>
        <w:rPr>
          <w:rStyle w:val="62"/>
          <w:sz w:val="21"/>
          <w:szCs w:val="21"/>
        </w:rPr>
        <w:instrText xml:space="preserve"> HYPERLINK "https://www.planalto.gov.br/ccivil_03/leis/lcp/lcp123.htm" \l "art45"</w:instrText>
      </w:r>
      <w:r>
        <w:rPr>
          <w:rStyle w:val="62"/>
          <w:sz w:val="21"/>
          <w:szCs w:val="21"/>
        </w:rPr>
        <w:fldChar w:fldCharType="separate"/>
      </w:r>
      <w:r>
        <w:rPr>
          <w:rStyle w:val="62"/>
          <w:sz w:val="21"/>
          <w:szCs w:val="21"/>
        </w:rPr>
        <w:t>art. 45, §3º, da Lei Complementar Federal nº 123, de 2006</w:t>
      </w:r>
      <w:r>
        <w:rPr>
          <w:rStyle w:val="62"/>
          <w:sz w:val="21"/>
          <w:szCs w:val="21"/>
        </w:rPr>
        <w:fldChar w:fldCharType="end"/>
      </w:r>
      <w:r>
        <w:rPr>
          <w:color w:val="000000"/>
          <w:sz w:val="21"/>
          <w:szCs w:val="21"/>
        </w:rPr>
        <w:t>.</w:t>
      </w:r>
    </w:p>
    <w:p w14:paraId="4DF8742E">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 direito de preferência de que trata o item anterior será concedido da seguinte forma:</w:t>
      </w:r>
    </w:p>
    <w:p w14:paraId="550A749C">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Ocorrendo o empate, a microempresa ou a empresa de pequeno porte melhor classificada poderá apresentar proposta de preço inferior àquela considerada vencedora do certame, situação em que será adjudicado o objeto em seu favor; e</w:t>
      </w:r>
    </w:p>
    <w:p w14:paraId="3F5454B6">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não ocorrendo a contratação da microempresa ou empresa de pequeno porte, na forma da alínea anterior, serão convocadas as remanescentes que porventura se enquadrem na situação de empate, na ordem classificatória, para o exercício do mesmo direito; e</w:t>
      </w:r>
    </w:p>
    <w:p w14:paraId="4FD2E27E">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no caso de equivalência dos valores apresentados pelas microempresas e empresas de pequeno porte que se encontrem em situação de empate, será realizado sorteio entre elas para que se identifique aquela que primeiro poderá apresentar melhor oferta.</w:t>
      </w:r>
    </w:p>
    <w:p w14:paraId="291ACDE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Se houver equivalência de valores apresentados pelas MEs ou EPPs, que se encontrem no intervalo estabelecido no </w:t>
      </w:r>
      <w:r>
        <w:rPr>
          <w:sz w:val="21"/>
          <w:szCs w:val="21"/>
        </w:rPr>
        <w:fldChar w:fldCharType="begin"/>
      </w:r>
      <w:r>
        <w:rPr>
          <w:rStyle w:val="62"/>
          <w:sz w:val="21"/>
          <w:szCs w:val="21"/>
        </w:rPr>
        <w:instrText xml:space="preserve"> HYPERLINK "https://www.planalto.gov.br/ccivil_03/leis/lcp/lcp123.htm" \l "art44"</w:instrText>
      </w:r>
      <w:r>
        <w:rPr>
          <w:rStyle w:val="62"/>
          <w:sz w:val="21"/>
          <w:szCs w:val="21"/>
        </w:rPr>
        <w:fldChar w:fldCharType="separate"/>
      </w:r>
      <w:r>
        <w:rPr>
          <w:rStyle w:val="62"/>
          <w:sz w:val="21"/>
          <w:szCs w:val="21"/>
        </w:rPr>
        <w:t>art. 44, §2º, da Lei Complementar Federal nº 123, de 2006</w:t>
      </w:r>
      <w:r>
        <w:rPr>
          <w:rStyle w:val="62"/>
          <w:sz w:val="21"/>
          <w:szCs w:val="21"/>
        </w:rPr>
        <w:fldChar w:fldCharType="end"/>
      </w:r>
      <w:r>
        <w:rPr>
          <w:color w:val="000000"/>
          <w:sz w:val="21"/>
          <w:szCs w:val="21"/>
        </w:rPr>
        <w:t>, o sistema efetuará sorteio para identificar a empresa que primeiro poderá apresentar melhor oferta.</w:t>
      </w:r>
    </w:p>
    <w:p w14:paraId="5EF072A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Caso a ME ou EPP convocada decline de exercer o direito de preferência, o sistema convocará as remanescentes que porventura se enquadrem na hipótese do </w:t>
      </w:r>
      <w:r>
        <w:rPr>
          <w:sz w:val="21"/>
          <w:szCs w:val="21"/>
        </w:rPr>
        <w:fldChar w:fldCharType="begin"/>
      </w:r>
      <w:r>
        <w:rPr>
          <w:rStyle w:val="62"/>
          <w:sz w:val="21"/>
          <w:szCs w:val="21"/>
        </w:rPr>
        <w:instrText xml:space="preserve"> HYPERLINK "https://www.planalto.gov.br/ccivil_03/leis/lcp/lcp123.htm" \l "art44"</w:instrText>
      </w:r>
      <w:r>
        <w:rPr>
          <w:rStyle w:val="62"/>
          <w:sz w:val="21"/>
          <w:szCs w:val="21"/>
        </w:rPr>
        <w:fldChar w:fldCharType="separate"/>
      </w:r>
      <w:r>
        <w:rPr>
          <w:rStyle w:val="62"/>
          <w:sz w:val="21"/>
          <w:szCs w:val="21"/>
        </w:rPr>
        <w:t>art. 44, §2º, da Lei Complementar Federal nº 123, de 2006</w:t>
      </w:r>
      <w:r>
        <w:rPr>
          <w:rStyle w:val="62"/>
          <w:sz w:val="21"/>
          <w:szCs w:val="21"/>
        </w:rPr>
        <w:fldChar w:fldCharType="end"/>
      </w:r>
      <w:r>
        <w:rPr>
          <w:color w:val="000000"/>
          <w:sz w:val="21"/>
          <w:szCs w:val="21"/>
        </w:rPr>
        <w:t>, na ordem de classificação. </w:t>
      </w:r>
    </w:p>
    <w:p w14:paraId="6D07C44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Se houver êxito no procedimento especificado acima, o sistema disponibilizará nova classificação dos fornecedores para fins de aceitação pelo(a) </w:t>
      </w:r>
      <w:r>
        <w:rPr>
          <w:sz w:val="21"/>
          <w:szCs w:val="21"/>
        </w:rPr>
        <w:t>Pregoeiro</w:t>
      </w:r>
      <w:r>
        <w:rPr>
          <w:color w:val="000000"/>
          <w:sz w:val="21"/>
          <w:szCs w:val="21"/>
        </w:rPr>
        <w:t>. Não havendo êxito ou não existindo ME ou EPP participante, prevalecerá a classificação inicial.</w:t>
      </w:r>
    </w:p>
    <w:p w14:paraId="32C07F6F">
      <w:pPr>
        <w:pStyle w:val="2"/>
        <w:spacing w:before="360" w:after="0"/>
        <w:rPr>
          <w:sz w:val="21"/>
          <w:szCs w:val="21"/>
        </w:rPr>
      </w:pPr>
      <w:bookmarkStart w:id="20" w:name="_Toc149517443"/>
      <w:r>
        <w:rPr>
          <w:rStyle w:val="53"/>
          <w:sz w:val="21"/>
          <w:szCs w:val="21"/>
        </w:rPr>
        <w:t>EMPATE REAL</w:t>
      </w:r>
      <w:bookmarkEnd w:id="20"/>
    </w:p>
    <w:p w14:paraId="79709A21">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Em caso de empate entre 2 (duas) ou mais propostas, desde que não se enquadre em situação prevista nos </w:t>
      </w:r>
      <w:r>
        <w:rPr>
          <w:sz w:val="21"/>
          <w:szCs w:val="21"/>
        </w:rPr>
        <w:fldChar w:fldCharType="begin"/>
      </w:r>
      <w:r>
        <w:rPr>
          <w:rStyle w:val="62"/>
          <w:sz w:val="21"/>
          <w:szCs w:val="21"/>
        </w:rPr>
        <w:instrText xml:space="preserve"> HYPERLINK "https://www.planalto.gov.br/ccivil_03/leis/lcp/lcp123.htm" \l "art44"</w:instrText>
      </w:r>
      <w:r>
        <w:rPr>
          <w:rStyle w:val="62"/>
          <w:sz w:val="21"/>
          <w:szCs w:val="21"/>
        </w:rPr>
        <w:fldChar w:fldCharType="separate"/>
      </w:r>
      <w:r>
        <w:rPr>
          <w:rStyle w:val="62"/>
          <w:sz w:val="21"/>
          <w:szCs w:val="21"/>
        </w:rPr>
        <w:t>arts. 44 e 45 da Lei Complementar Federal nº 123, de 2006</w:t>
      </w:r>
      <w:r>
        <w:rPr>
          <w:rStyle w:val="62"/>
          <w:sz w:val="21"/>
          <w:szCs w:val="21"/>
        </w:rPr>
        <w:fldChar w:fldCharType="end"/>
      </w:r>
      <w:r>
        <w:rPr>
          <w:color w:val="000000"/>
          <w:sz w:val="21"/>
          <w:szCs w:val="21"/>
        </w:rPr>
        <w:t xml:space="preserve">, serão utilizados os critérios de desempate previstos no </w:t>
      </w:r>
      <w:r>
        <w:rPr>
          <w:sz w:val="21"/>
          <w:szCs w:val="21"/>
        </w:rPr>
        <w:fldChar w:fldCharType="begin"/>
      </w:r>
      <w:r>
        <w:rPr>
          <w:rStyle w:val="62"/>
          <w:sz w:val="21"/>
          <w:szCs w:val="21"/>
        </w:rPr>
        <w:instrText xml:space="preserve"> HYPERLINK "https://www.planalto.gov.br/ccivil_03/_ato2019-2022/2021/lei/l14133.htm" \l "art60"</w:instrText>
      </w:r>
      <w:r>
        <w:rPr>
          <w:rStyle w:val="62"/>
          <w:sz w:val="21"/>
          <w:szCs w:val="21"/>
        </w:rPr>
        <w:fldChar w:fldCharType="separate"/>
      </w:r>
      <w:r>
        <w:rPr>
          <w:rStyle w:val="62"/>
          <w:sz w:val="21"/>
          <w:szCs w:val="21"/>
        </w:rPr>
        <w:t>art. 60 da Lei Federal nº 14.133, de 2021</w:t>
      </w:r>
      <w:r>
        <w:rPr>
          <w:rStyle w:val="62"/>
          <w:sz w:val="21"/>
          <w:szCs w:val="21"/>
        </w:rPr>
        <w:fldChar w:fldCharType="end"/>
      </w:r>
      <w:r>
        <w:rPr>
          <w:color w:val="000000"/>
          <w:sz w:val="21"/>
          <w:szCs w:val="21"/>
        </w:rPr>
        <w:t>, naquela ordem, mesmo não havendo envio de lances na fase competitiva.</w:t>
      </w:r>
    </w:p>
    <w:p w14:paraId="6A92138B">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Persistindo</w:t>
      </w:r>
      <w:r>
        <w:rPr>
          <w:sz w:val="21"/>
          <w:szCs w:val="21"/>
        </w:rPr>
        <w:t xml:space="preserve"> o empate, será assegurada preferência, sucessivamente, aos produtos produzidos por:</w:t>
      </w:r>
    </w:p>
    <w:p w14:paraId="178F1AF4">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Empresas</w:t>
      </w:r>
      <w:r>
        <w:rPr>
          <w:sz w:val="21"/>
          <w:szCs w:val="21"/>
        </w:rPr>
        <w:t xml:space="preserve"> brasileiras;</w:t>
      </w:r>
    </w:p>
    <w:p w14:paraId="15A79ABA">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Empresas</w:t>
      </w:r>
      <w:r>
        <w:rPr>
          <w:sz w:val="21"/>
          <w:szCs w:val="21"/>
        </w:rPr>
        <w:t xml:space="preserve"> estabelecidas no território de Mato Grosso;</w:t>
      </w:r>
    </w:p>
    <w:p w14:paraId="2E0B9155">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Empresas</w:t>
      </w:r>
      <w:r>
        <w:rPr>
          <w:sz w:val="21"/>
          <w:szCs w:val="21"/>
        </w:rPr>
        <w:t xml:space="preserve"> que invistam em pesquisa e no desenvolvimento de tecnologia no País;</w:t>
      </w:r>
    </w:p>
    <w:p w14:paraId="124900EC">
      <w:pPr>
        <w:pStyle w:val="50"/>
        <w:numPr>
          <w:ilvl w:val="2"/>
          <w:numId w:val="1"/>
        </w:numPr>
        <w:tabs>
          <w:tab w:val="left" w:pos="1134"/>
        </w:tabs>
        <w:spacing w:before="0" w:beforeAutospacing="0" w:after="0" w:afterAutospacing="0"/>
        <w:jc w:val="both"/>
        <w:textAlignment w:val="baseline"/>
        <w:rPr>
          <w:sz w:val="21"/>
          <w:szCs w:val="21"/>
        </w:rPr>
      </w:pPr>
      <w:r>
        <w:rPr>
          <w:sz w:val="21"/>
          <w:szCs w:val="21"/>
        </w:rPr>
        <w:t xml:space="preserve">Empresas que comprovem a prática de mitigação, nos termos da </w:t>
      </w:r>
      <w:r>
        <w:rPr>
          <w:sz w:val="21"/>
          <w:szCs w:val="21"/>
        </w:rPr>
        <w:fldChar w:fldCharType="begin"/>
      </w:r>
      <w:r>
        <w:rPr>
          <w:sz w:val="21"/>
          <w:szCs w:val="21"/>
        </w:rPr>
        <w:instrText xml:space="preserve"> HYPERLINK "https://www.planalto.gov.br/ccivil_03/_ato2007-2010/2009/lei/l12187.htm" \h </w:instrText>
      </w:r>
      <w:r>
        <w:rPr>
          <w:sz w:val="21"/>
          <w:szCs w:val="21"/>
        </w:rPr>
        <w:fldChar w:fldCharType="separate"/>
      </w:r>
      <w:r>
        <w:rPr>
          <w:rStyle w:val="62"/>
          <w:sz w:val="21"/>
          <w:szCs w:val="21"/>
        </w:rPr>
        <w:t>Lei Federal nº 12.187, de 2009</w:t>
      </w:r>
      <w:r>
        <w:rPr>
          <w:rStyle w:val="62"/>
          <w:sz w:val="21"/>
          <w:szCs w:val="21"/>
        </w:rPr>
        <w:fldChar w:fldCharType="end"/>
      </w:r>
      <w:r>
        <w:rPr>
          <w:sz w:val="21"/>
          <w:szCs w:val="21"/>
        </w:rPr>
        <w:t>.</w:t>
      </w:r>
    </w:p>
    <w:p w14:paraId="55D58F80">
      <w:pPr>
        <w:pStyle w:val="50"/>
        <w:numPr>
          <w:ilvl w:val="0"/>
          <w:numId w:val="0"/>
        </w:numPr>
        <w:tabs>
          <w:tab w:val="left" w:pos="1134"/>
        </w:tabs>
        <w:spacing w:before="0" w:beforeAutospacing="0" w:after="0" w:afterAutospacing="0"/>
        <w:ind w:left="720" w:firstLine="0"/>
        <w:jc w:val="both"/>
        <w:textAlignment w:val="baseline"/>
        <w:rPr>
          <w:rFonts w:ascii="Times New Roman" w:hAnsi="Times New Roman"/>
          <w:sz w:val="21"/>
          <w:szCs w:val="21"/>
        </w:rPr>
      </w:pPr>
    </w:p>
    <w:p w14:paraId="7E75D62A">
      <w:pPr>
        <w:pStyle w:val="50"/>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1"/>
          <w:szCs w:val="21"/>
        </w:rPr>
      </w:pPr>
      <w:r>
        <w:rPr>
          <w:rStyle w:val="53"/>
          <w:b/>
          <w:bCs/>
          <w:sz w:val="21"/>
          <w:szCs w:val="21"/>
        </w:rPr>
        <w:t>CONFORMIDADE DA PROPOSTA CLASSIFICADA EM PRIMEIRO LUGAR </w:t>
      </w:r>
    </w:p>
    <w:p w14:paraId="55D91CD9">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Encerrada a etapa de lances, após observado o disposto no item “</w:t>
      </w:r>
      <w:r>
        <w:rPr>
          <w:sz w:val="21"/>
          <w:szCs w:val="21"/>
        </w:rPr>
        <w:fldChar w:fldCharType="begin"/>
      </w:r>
      <w:r>
        <w:rPr>
          <w:sz w:val="21"/>
          <w:szCs w:val="21"/>
        </w:rPr>
        <w:instrText xml:space="preserve"> HYPERLINK \l "_CONSÓRCIO" \h </w:instrText>
      </w:r>
      <w:r>
        <w:rPr>
          <w:sz w:val="21"/>
          <w:szCs w:val="21"/>
        </w:rPr>
        <w:fldChar w:fldCharType="separate"/>
      </w:r>
      <w:r>
        <w:rPr>
          <w:rStyle w:val="62"/>
          <w:sz w:val="21"/>
          <w:szCs w:val="21"/>
        </w:rPr>
        <w:t>8 - CONSÓRCIO</w:t>
      </w:r>
      <w:r>
        <w:rPr>
          <w:rStyle w:val="62"/>
          <w:sz w:val="21"/>
          <w:szCs w:val="21"/>
        </w:rPr>
        <w:fldChar w:fldCharType="end"/>
      </w:r>
      <w:r>
        <w:rPr>
          <w:color w:val="000000"/>
          <w:sz w:val="21"/>
          <w:szCs w:val="21"/>
        </w:rPr>
        <w:t xml:space="preserve">” deste Edital, o(a) </w:t>
      </w:r>
      <w:r>
        <w:rPr>
          <w:sz w:val="21"/>
          <w:szCs w:val="21"/>
        </w:rPr>
        <w:t>Pregoeiro</w:t>
      </w:r>
      <w:r>
        <w:rPr>
          <w:color w:val="000000"/>
          <w:sz w:val="21"/>
          <w:szCs w:val="21"/>
        </w:rPr>
        <w:t xml:space="preserve"> solicitará, no prazo de 2 (duas) horas, o envio da proposta classificada em primeiro lugar adequada ao último lance ofertado, e se necessário, dos documentos complementares, que será julgada pelo critério de menor preço unitário/total </w:t>
      </w:r>
      <w:r>
        <w:rPr>
          <w:rFonts w:hint="default"/>
          <w:color w:val="000000"/>
          <w:sz w:val="21"/>
          <w:szCs w:val="21"/>
          <w:lang w:val="pt-BR"/>
        </w:rPr>
        <w:t>por item</w:t>
      </w:r>
      <w:r>
        <w:rPr>
          <w:color w:val="000000"/>
          <w:sz w:val="21"/>
          <w:szCs w:val="21"/>
        </w:rPr>
        <w:t xml:space="preserve">/lote e realizará a verificação da conformidade da proposta em relação ao objeto e à compatibilidade do preço em relação ao máximo para a contratação, conforme definido neste edital. </w:t>
      </w:r>
    </w:p>
    <w:p w14:paraId="038FA22C">
      <w:pPr>
        <w:pStyle w:val="50"/>
        <w:numPr>
          <w:ilvl w:val="0"/>
          <w:numId w:val="0"/>
        </w:numPr>
        <w:tabs>
          <w:tab w:val="left" w:pos="1134"/>
        </w:tabs>
        <w:spacing w:before="0" w:beforeAutospacing="0" w:after="0" w:afterAutospacing="0"/>
        <w:ind w:left="567" w:firstLine="0"/>
        <w:jc w:val="both"/>
        <w:textAlignment w:val="baseline"/>
        <w:rPr>
          <w:rFonts w:ascii="Times New Roman" w:hAnsi="Times New Roman"/>
          <w:color w:val="000000"/>
          <w:sz w:val="21"/>
          <w:szCs w:val="21"/>
        </w:rPr>
      </w:pPr>
    </w:p>
    <w:p w14:paraId="55312B51">
      <w:pPr>
        <w:pStyle w:val="50"/>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1"/>
          <w:szCs w:val="21"/>
        </w:rPr>
      </w:pPr>
      <w:r>
        <w:rPr>
          <w:rStyle w:val="53"/>
          <w:b/>
          <w:bCs/>
          <w:sz w:val="21"/>
          <w:szCs w:val="21"/>
        </w:rPr>
        <w:t>NEGOCIAÇÃO</w:t>
      </w:r>
    </w:p>
    <w:p w14:paraId="5885CBC3">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Definido o resultado do julgamento, o(a) </w:t>
      </w:r>
      <w:r>
        <w:rPr>
          <w:sz w:val="21"/>
          <w:szCs w:val="21"/>
        </w:rPr>
        <w:t>Pregoeiro</w:t>
      </w:r>
      <w:r>
        <w:rPr>
          <w:color w:val="000000"/>
          <w:sz w:val="21"/>
          <w:szCs w:val="21"/>
        </w:rPr>
        <w:t xml:space="preserve"> poderá negociar condições mais vantajosas com o primeiro colocado, pelo sistema eletrônico, podendo, a negociação ser acompanhada pelos demais licitantes.</w:t>
      </w:r>
    </w:p>
    <w:p w14:paraId="34EE53FF">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Caso a proposta da licitante classificada em primeiro lugar apresente preço superior ao máximo para a contratação, o(a) </w:t>
      </w:r>
      <w:r>
        <w:rPr>
          <w:sz w:val="21"/>
          <w:szCs w:val="21"/>
        </w:rPr>
        <w:t>Pregoeiro</w:t>
      </w:r>
      <w:r>
        <w:rPr>
          <w:color w:val="000000"/>
          <w:sz w:val="21"/>
          <w:szCs w:val="21"/>
        </w:rPr>
        <w:t xml:space="preserve"> deverá negociar condições mais vantajosas, pelo sistema eletrônico, podendo, a negociação ser acompanhada pelos demais licitantes (</w:t>
      </w:r>
      <w:r>
        <w:rPr>
          <w:sz w:val="21"/>
          <w:szCs w:val="21"/>
        </w:rPr>
        <w:fldChar w:fldCharType="begin"/>
      </w:r>
      <w:r>
        <w:rPr>
          <w:rStyle w:val="62"/>
          <w:sz w:val="21"/>
          <w:szCs w:val="21"/>
        </w:rPr>
        <w:instrText xml:space="preserve"> HYPERLINK "https://www.planalto.gov.br/ccivil_03/_ato2019-2022/2021/lei/l14133.htm" \l "art61"</w:instrText>
      </w:r>
      <w:r>
        <w:rPr>
          <w:rStyle w:val="62"/>
          <w:sz w:val="21"/>
          <w:szCs w:val="21"/>
        </w:rPr>
        <w:fldChar w:fldCharType="separate"/>
      </w:r>
      <w:r>
        <w:rPr>
          <w:rStyle w:val="62"/>
          <w:sz w:val="21"/>
          <w:szCs w:val="21"/>
        </w:rPr>
        <w:t>art. 61, §1º, da Lei Federal nº 14.133, de 2021</w:t>
      </w:r>
      <w:r>
        <w:rPr>
          <w:rStyle w:val="62"/>
          <w:sz w:val="21"/>
          <w:szCs w:val="21"/>
        </w:rPr>
        <w:fldChar w:fldCharType="end"/>
      </w:r>
      <w:r>
        <w:rPr>
          <w:color w:val="000000"/>
          <w:sz w:val="21"/>
          <w:szCs w:val="21"/>
        </w:rPr>
        <w:t>).</w:t>
      </w:r>
    </w:p>
    <w:p w14:paraId="09C7F114">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w:t>
      </w:r>
      <w:r>
        <w:rPr>
          <w:sz w:val="21"/>
          <w:szCs w:val="21"/>
        </w:rPr>
        <w:fldChar w:fldCharType="begin"/>
      </w:r>
      <w:r>
        <w:rPr>
          <w:rStyle w:val="62"/>
          <w:sz w:val="21"/>
          <w:szCs w:val="21"/>
        </w:rPr>
        <w:instrText xml:space="preserve"> HYPERLINK "https://www.planalto.gov.br/ccivil_03/_ato2019-2022/2021/lei/l14133.htm" \l "art60"</w:instrText>
      </w:r>
      <w:r>
        <w:rPr>
          <w:rStyle w:val="62"/>
          <w:sz w:val="21"/>
          <w:szCs w:val="21"/>
        </w:rPr>
        <w:fldChar w:fldCharType="separate"/>
      </w:r>
      <w:r>
        <w:rPr>
          <w:rStyle w:val="62"/>
          <w:sz w:val="21"/>
          <w:szCs w:val="21"/>
        </w:rPr>
        <w:t>art. 60 da Lei Federal nº 14.133, de 2021</w:t>
      </w:r>
      <w:r>
        <w:rPr>
          <w:rStyle w:val="62"/>
          <w:sz w:val="21"/>
          <w:szCs w:val="21"/>
        </w:rPr>
        <w:fldChar w:fldCharType="end"/>
      </w:r>
      <w:r>
        <w:rPr>
          <w:color w:val="000000"/>
          <w:sz w:val="21"/>
          <w:szCs w:val="21"/>
        </w:rPr>
        <w:t xml:space="preserve"> (</w:t>
      </w:r>
      <w:r>
        <w:rPr>
          <w:sz w:val="21"/>
          <w:szCs w:val="21"/>
        </w:rPr>
        <w:fldChar w:fldCharType="begin"/>
      </w:r>
      <w:r>
        <w:rPr>
          <w:rStyle w:val="62"/>
          <w:sz w:val="21"/>
          <w:szCs w:val="21"/>
        </w:rPr>
        <w:instrText xml:space="preserve"> HYPERLINK "https://www.planalto.gov.br/ccivil_03/_ato2019-2022/2021/lei/l14133.htm" \l "art61"</w:instrText>
      </w:r>
      <w:r>
        <w:rPr>
          <w:rStyle w:val="62"/>
          <w:sz w:val="21"/>
          <w:szCs w:val="21"/>
        </w:rPr>
        <w:fldChar w:fldCharType="separate"/>
      </w:r>
      <w:r>
        <w:rPr>
          <w:rStyle w:val="62"/>
          <w:sz w:val="21"/>
          <w:szCs w:val="21"/>
        </w:rPr>
        <w:t>art.61, §1º da Lei Federal nº 14.133, de 2021</w:t>
      </w:r>
      <w:r>
        <w:rPr>
          <w:rStyle w:val="62"/>
          <w:sz w:val="21"/>
          <w:szCs w:val="21"/>
        </w:rPr>
        <w:fldChar w:fldCharType="end"/>
      </w:r>
      <w:r>
        <w:rPr>
          <w:color w:val="000000"/>
          <w:sz w:val="21"/>
          <w:szCs w:val="21"/>
        </w:rPr>
        <w:t>).</w:t>
      </w:r>
    </w:p>
    <w:p w14:paraId="783E26F2">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A proposta de preços classificada em primeiro lugar, ajustada ao valor final aceito pelo(a) </w:t>
      </w:r>
      <w:r>
        <w:rPr>
          <w:sz w:val="21"/>
          <w:szCs w:val="21"/>
        </w:rPr>
        <w:t>Pregoeiro</w:t>
      </w:r>
      <w:r>
        <w:rPr>
          <w:color w:val="000000"/>
          <w:sz w:val="21"/>
          <w:szCs w:val="21"/>
        </w:rPr>
        <w:t xml:space="preserve"> após a devida negociação, deverá ser anexada ao sistema eletrônico após solicitação do(a) </w:t>
      </w:r>
      <w:r>
        <w:rPr>
          <w:sz w:val="21"/>
          <w:szCs w:val="21"/>
        </w:rPr>
        <w:t>Pregoeiro</w:t>
      </w:r>
      <w:r>
        <w:rPr>
          <w:color w:val="000000"/>
          <w:sz w:val="21"/>
          <w:szCs w:val="21"/>
        </w:rPr>
        <w:t xml:space="preserve"> pela opção "Convocar Anexo", no prazo de 2 (duas) horas, contado de sua solicitação.</w:t>
      </w:r>
    </w:p>
    <w:p w14:paraId="63610FA1">
      <w:pPr>
        <w:pStyle w:val="2"/>
        <w:spacing w:before="360" w:after="0"/>
        <w:rPr>
          <w:sz w:val="21"/>
          <w:szCs w:val="21"/>
        </w:rPr>
      </w:pPr>
      <w:bookmarkStart w:id="21" w:name="_Toc149517444"/>
      <w:r>
        <w:rPr>
          <w:rStyle w:val="53"/>
          <w:sz w:val="21"/>
          <w:szCs w:val="21"/>
        </w:rPr>
        <w:t>DESCLASSIFICAÇÃO DE PROPOSTA</w:t>
      </w:r>
      <w:bookmarkEnd w:id="21"/>
    </w:p>
    <w:p w14:paraId="34250F1E">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Será desclassificada a proposta, que (</w:t>
      </w:r>
      <w:r>
        <w:rPr>
          <w:sz w:val="21"/>
          <w:szCs w:val="21"/>
        </w:rPr>
        <w:fldChar w:fldCharType="begin"/>
      </w:r>
      <w:r>
        <w:rPr>
          <w:rStyle w:val="62"/>
          <w:sz w:val="21"/>
          <w:szCs w:val="21"/>
        </w:rPr>
        <w:instrText xml:space="preserve"> HYPERLINK "https://www.planalto.gov.br/ccivil_03/_ato2019-2022/2021/lei/l14133.htm" \l "art59"</w:instrText>
      </w:r>
      <w:r>
        <w:rPr>
          <w:rStyle w:val="62"/>
          <w:sz w:val="21"/>
          <w:szCs w:val="21"/>
        </w:rPr>
        <w:fldChar w:fldCharType="separate"/>
      </w:r>
      <w:r>
        <w:rPr>
          <w:rStyle w:val="62"/>
          <w:sz w:val="21"/>
          <w:szCs w:val="21"/>
        </w:rPr>
        <w:t>art. 59, da Lei Federal nº 14.133, de 2021</w:t>
      </w:r>
      <w:r>
        <w:rPr>
          <w:rStyle w:val="62"/>
          <w:sz w:val="21"/>
          <w:szCs w:val="21"/>
        </w:rPr>
        <w:fldChar w:fldCharType="end"/>
      </w:r>
      <w:r>
        <w:rPr>
          <w:color w:val="000000"/>
          <w:sz w:val="21"/>
          <w:szCs w:val="21"/>
        </w:rPr>
        <w:t>):</w:t>
      </w:r>
    </w:p>
    <w:p w14:paraId="2468B629">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contiverem vícios insanáveis;</w:t>
      </w:r>
    </w:p>
    <w:p w14:paraId="505A5E9D">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color w:val="000000"/>
          <w:sz w:val="21"/>
          <w:szCs w:val="21"/>
        </w:rPr>
      </w:pPr>
      <w:bookmarkStart w:id="22" w:name="art59ii"/>
      <w:bookmarkEnd w:id="22"/>
      <w:r>
        <w:rPr>
          <w:rFonts w:hint="default" w:ascii="Times New Roman" w:hAnsi="Times New Roman" w:cs="Times New Roman"/>
          <w:color w:val="000000"/>
          <w:sz w:val="21"/>
          <w:szCs w:val="21"/>
        </w:rPr>
        <w:t>não obedecerem às especificações técnicas pormenorizadas no edital;</w:t>
      </w:r>
    </w:p>
    <w:p w14:paraId="2A6D4A66">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color w:val="000000"/>
          <w:sz w:val="21"/>
          <w:szCs w:val="21"/>
        </w:rPr>
      </w:pPr>
      <w:bookmarkStart w:id="23" w:name="art59iii"/>
      <w:bookmarkEnd w:id="23"/>
      <w:r>
        <w:rPr>
          <w:rFonts w:hint="default" w:ascii="Times New Roman" w:hAnsi="Times New Roman" w:cs="Times New Roman"/>
          <w:color w:val="000000"/>
          <w:sz w:val="21"/>
          <w:szCs w:val="21"/>
        </w:rPr>
        <w:t>apresentarem preços inexequíveis;</w:t>
      </w:r>
    </w:p>
    <w:p w14:paraId="0FCD394A">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com preço superior ao estimado para a contratação;</w:t>
      </w:r>
    </w:p>
    <w:p w14:paraId="37C4F58A">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color w:val="000000"/>
          <w:sz w:val="21"/>
          <w:szCs w:val="21"/>
        </w:rPr>
      </w:pPr>
      <w:bookmarkStart w:id="24" w:name="art59iv"/>
      <w:bookmarkEnd w:id="24"/>
      <w:r>
        <w:rPr>
          <w:rFonts w:hint="default" w:ascii="Times New Roman" w:hAnsi="Times New Roman" w:cs="Times New Roman"/>
          <w:color w:val="000000"/>
          <w:sz w:val="21"/>
          <w:szCs w:val="21"/>
        </w:rPr>
        <w:t>não tiverem sua exequibilidade demonstrada, quando exigido pela Administração;</w:t>
      </w:r>
    </w:p>
    <w:p w14:paraId="07D5261A">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sz w:val="21"/>
          <w:szCs w:val="21"/>
          <w:highlight w:val="none"/>
        </w:rPr>
      </w:pPr>
      <w:bookmarkStart w:id="25" w:name="art59v"/>
      <w:bookmarkEnd w:id="25"/>
      <w:r>
        <w:rPr>
          <w:rFonts w:hint="default" w:ascii="Times New Roman" w:hAnsi="Times New Roman" w:cs="Times New Roman"/>
          <w:color w:val="000000"/>
          <w:sz w:val="21"/>
          <w:szCs w:val="21"/>
        </w:rPr>
        <w:t>não tiver com</w:t>
      </w:r>
      <w:r>
        <w:rPr>
          <w:rFonts w:hint="default" w:ascii="Times New Roman" w:hAnsi="Times New Roman" w:cs="Times New Roman"/>
          <w:color w:val="000000"/>
          <w:sz w:val="21"/>
          <w:szCs w:val="21"/>
          <w:highlight w:val="none"/>
        </w:rPr>
        <w:t xml:space="preserve">o anexo </w:t>
      </w:r>
      <w:r>
        <w:rPr>
          <w:rFonts w:hint="default" w:ascii="Times New Roman" w:hAnsi="Times New Roman" w:cs="Times New Roman"/>
          <w:sz w:val="21"/>
          <w:szCs w:val="21"/>
          <w:highlight w:val="none"/>
        </w:rPr>
        <w:t>atestado de vistoria técnica, conforme “</w:t>
      </w:r>
      <w:r>
        <w:rPr>
          <w:rFonts w:hint="default" w:ascii="Times New Roman" w:hAnsi="Times New Roman" w:cs="Times New Roman"/>
          <w:sz w:val="21"/>
          <w:szCs w:val="21"/>
          <w:highlight w:val="none"/>
        </w:rPr>
        <w:fldChar w:fldCharType="begin"/>
      </w:r>
      <w:r>
        <w:rPr>
          <w:rFonts w:hint="default" w:ascii="Times New Roman" w:hAnsi="Times New Roman" w:cs="Times New Roman"/>
          <w:sz w:val="21"/>
          <w:szCs w:val="21"/>
          <w:highlight w:val="none"/>
        </w:rPr>
        <w:instrText xml:space="preserve"> HYPERLINK \l "_ANEXO_III_-_1" </w:instrText>
      </w:r>
      <w:r>
        <w:rPr>
          <w:rFonts w:hint="default" w:ascii="Times New Roman" w:hAnsi="Times New Roman" w:cs="Times New Roman"/>
          <w:sz w:val="21"/>
          <w:szCs w:val="21"/>
          <w:highlight w:val="none"/>
        </w:rPr>
        <w:fldChar w:fldCharType="separate"/>
      </w:r>
      <w:r>
        <w:rPr>
          <w:rStyle w:val="21"/>
          <w:rFonts w:hint="default" w:ascii="Times New Roman" w:hAnsi="Times New Roman" w:cs="Times New Roman"/>
          <w:sz w:val="21"/>
          <w:szCs w:val="21"/>
          <w:highlight w:val="none"/>
        </w:rPr>
        <w:t>Anexo I</w:t>
      </w:r>
      <w:r>
        <w:rPr>
          <w:rStyle w:val="21"/>
          <w:rFonts w:hint="default" w:ascii="Times New Roman" w:hAnsi="Times New Roman" w:cs="Times New Roman"/>
          <w:sz w:val="21"/>
          <w:szCs w:val="21"/>
          <w:highlight w:val="none"/>
          <w:lang w:val="pt-BR"/>
        </w:rPr>
        <w:t>V</w:t>
      </w:r>
      <w:r>
        <w:rPr>
          <w:rStyle w:val="21"/>
          <w:rFonts w:hint="default" w:ascii="Times New Roman" w:hAnsi="Times New Roman" w:cs="Times New Roman"/>
          <w:sz w:val="21"/>
          <w:szCs w:val="21"/>
          <w:highlight w:val="none"/>
        </w:rPr>
        <w:t xml:space="preserve"> - Modelo de Atestado de Vistoria Técnica</w:t>
      </w:r>
      <w:r>
        <w:rPr>
          <w:rStyle w:val="21"/>
          <w:rFonts w:hint="default" w:ascii="Times New Roman" w:hAnsi="Times New Roman" w:cs="Times New Roman"/>
          <w:sz w:val="21"/>
          <w:szCs w:val="21"/>
          <w:highlight w:val="none"/>
        </w:rPr>
        <w:fldChar w:fldCharType="end"/>
      </w:r>
      <w:r>
        <w:rPr>
          <w:rFonts w:hint="default" w:ascii="Times New Roman" w:hAnsi="Times New Roman" w:cs="Times New Roman"/>
          <w:sz w:val="21"/>
          <w:szCs w:val="21"/>
          <w:highlight w:val="none"/>
        </w:rPr>
        <w:t>” ou a declaração de pleno conhecimento conforme “</w:t>
      </w:r>
      <w:r>
        <w:rPr>
          <w:rFonts w:hint="default" w:ascii="Times New Roman" w:hAnsi="Times New Roman" w:cs="Times New Roman"/>
          <w:sz w:val="21"/>
          <w:szCs w:val="21"/>
          <w:highlight w:val="none"/>
        </w:rPr>
        <w:fldChar w:fldCharType="begin"/>
      </w:r>
      <w:r>
        <w:rPr>
          <w:rFonts w:hint="default" w:ascii="Times New Roman" w:hAnsi="Times New Roman" w:cs="Times New Roman"/>
          <w:sz w:val="21"/>
          <w:szCs w:val="21"/>
          <w:highlight w:val="none"/>
        </w:rPr>
        <w:instrText xml:space="preserve"> HYPERLINK \l "_ANEXO_IV_-" </w:instrText>
      </w:r>
      <w:r>
        <w:rPr>
          <w:rFonts w:hint="default" w:ascii="Times New Roman" w:hAnsi="Times New Roman" w:cs="Times New Roman"/>
          <w:sz w:val="21"/>
          <w:szCs w:val="21"/>
          <w:highlight w:val="none"/>
        </w:rPr>
        <w:fldChar w:fldCharType="separate"/>
      </w:r>
      <w:r>
        <w:rPr>
          <w:rStyle w:val="21"/>
          <w:rFonts w:hint="default" w:ascii="Times New Roman" w:hAnsi="Times New Roman" w:cs="Times New Roman"/>
          <w:sz w:val="21"/>
          <w:szCs w:val="21"/>
          <w:highlight w:val="none"/>
        </w:rPr>
        <w:t>Anexo V - Modelo de Declaração de Pleno Conhecimento</w:t>
      </w:r>
      <w:r>
        <w:rPr>
          <w:rStyle w:val="21"/>
          <w:rFonts w:hint="default" w:ascii="Times New Roman" w:hAnsi="Times New Roman" w:cs="Times New Roman"/>
          <w:sz w:val="21"/>
          <w:szCs w:val="21"/>
          <w:highlight w:val="none"/>
        </w:rPr>
        <w:fldChar w:fldCharType="end"/>
      </w:r>
      <w:r>
        <w:rPr>
          <w:rFonts w:hint="default" w:ascii="Times New Roman" w:hAnsi="Times New Roman" w:cs="Times New Roman"/>
          <w:sz w:val="21"/>
          <w:szCs w:val="21"/>
          <w:highlight w:val="none"/>
        </w:rPr>
        <w:t>”;</w:t>
      </w:r>
    </w:p>
    <w:p w14:paraId="5127D789">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color w:val="000000"/>
          <w:sz w:val="21"/>
          <w:szCs w:val="21"/>
        </w:rPr>
      </w:pPr>
      <w:r>
        <w:rPr>
          <w:rFonts w:hint="default" w:ascii="Times New Roman" w:hAnsi="Times New Roman" w:cs="Times New Roman"/>
          <w:color w:val="000000"/>
          <w:sz w:val="21"/>
          <w:szCs w:val="21"/>
          <w:highlight w:val="none"/>
        </w:rPr>
        <w:t>apresentarem descon</w:t>
      </w:r>
      <w:r>
        <w:rPr>
          <w:rFonts w:hint="default" w:ascii="Times New Roman" w:hAnsi="Times New Roman" w:cs="Times New Roman"/>
          <w:color w:val="000000"/>
          <w:sz w:val="21"/>
          <w:szCs w:val="21"/>
        </w:rPr>
        <w:t>formidade com quaisquer outras exigências do edital, desde que insanável.</w:t>
      </w:r>
    </w:p>
    <w:p w14:paraId="2E9EDE68">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Erros no preenchimento da planilha não constituem motivo para a desclassificação da proposta. A planilha poderá ser ajustada pelo fornecedor, no prazo indicado pelo sistema, desde que não haja majoração do preço, que se comprove que este é o bastante para arcar com todos os custos da contratação e se limite a sanar erros ou falhas que não alterem a substância das propostas (</w:t>
      </w:r>
      <w:r>
        <w:rPr>
          <w:sz w:val="21"/>
          <w:szCs w:val="21"/>
        </w:rPr>
        <w:fldChar w:fldCharType="begin"/>
      </w:r>
      <w:r>
        <w:rPr>
          <w:sz w:val="21"/>
          <w:szCs w:val="21"/>
        </w:rPr>
        <w:instrText xml:space="preserve"> HYPERLINK "https://pesquisa.apps.tcu.gov.br/documento/acordao-completo/*/NUMACORDAO%253A1217%2520ANOACORDAO%253A2023%2520/DTRELEVANCIA%2520desc%252C%2520NUMACORDAOINT%2520desc/0" \h </w:instrText>
      </w:r>
      <w:r>
        <w:rPr>
          <w:sz w:val="21"/>
          <w:szCs w:val="21"/>
        </w:rPr>
        <w:fldChar w:fldCharType="separate"/>
      </w:r>
      <w:r>
        <w:rPr>
          <w:rStyle w:val="62"/>
          <w:sz w:val="21"/>
          <w:szCs w:val="21"/>
        </w:rPr>
        <w:t>Acórdão 1217/2023 Plenário - TCU</w:t>
      </w:r>
      <w:r>
        <w:rPr>
          <w:rStyle w:val="62"/>
          <w:sz w:val="21"/>
          <w:szCs w:val="21"/>
        </w:rPr>
        <w:fldChar w:fldCharType="end"/>
      </w:r>
      <w:r>
        <w:rPr>
          <w:sz w:val="21"/>
          <w:szCs w:val="21"/>
        </w:rPr>
        <w:t>).</w:t>
      </w:r>
    </w:p>
    <w:p w14:paraId="2843695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Será desclassificada a proposta que não corrigir ou não justificar eventuais falhas apontadas pelo(a) </w:t>
      </w:r>
      <w:r>
        <w:rPr>
          <w:sz w:val="21"/>
          <w:szCs w:val="21"/>
        </w:rPr>
        <w:t>Pregoeiro</w:t>
      </w:r>
      <w:r>
        <w:rPr>
          <w:color w:val="000000"/>
          <w:sz w:val="21"/>
          <w:szCs w:val="21"/>
        </w:rPr>
        <w:t>.</w:t>
      </w:r>
    </w:p>
    <w:p w14:paraId="7E605468">
      <w:pPr>
        <w:pStyle w:val="2"/>
        <w:spacing w:before="360" w:after="0"/>
        <w:rPr>
          <w:sz w:val="21"/>
          <w:szCs w:val="21"/>
        </w:rPr>
      </w:pPr>
      <w:bookmarkStart w:id="26" w:name="_Toc149517445"/>
      <w:r>
        <w:rPr>
          <w:rStyle w:val="53"/>
          <w:sz w:val="21"/>
          <w:szCs w:val="21"/>
        </w:rPr>
        <w:t>INEXEQUIBILIDADE DE PROPOSTA</w:t>
      </w:r>
      <w:bookmarkEnd w:id="26"/>
    </w:p>
    <w:p w14:paraId="03B4B757">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sz w:val="21"/>
          <w:szCs w:val="21"/>
        </w:rPr>
        <w:t>É considerado indício de inexequibilidade das propostas valores inferiores a 50% (cinquenta por cento) do valor orçado pela Administração.</w:t>
      </w:r>
    </w:p>
    <w:p w14:paraId="518B02E1">
      <w:pPr>
        <w:pStyle w:val="50"/>
        <w:numPr>
          <w:ilvl w:val="1"/>
          <w:numId w:val="1"/>
        </w:numPr>
        <w:tabs>
          <w:tab w:val="left" w:pos="1134"/>
        </w:tabs>
        <w:spacing w:before="0" w:beforeAutospacing="0" w:after="120" w:afterAutospacing="0"/>
        <w:ind w:left="-87" w:leftChars="0" w:firstLine="567" w:firstLineChars="0"/>
        <w:jc w:val="both"/>
        <w:textAlignment w:val="baseline"/>
        <w:rPr>
          <w:rFonts w:ascii="Times New Roman" w:hAnsi="Times New Roman"/>
          <w:sz w:val="21"/>
          <w:szCs w:val="21"/>
        </w:rPr>
      </w:pPr>
      <w:r>
        <w:rPr>
          <w:color w:val="000000"/>
          <w:sz w:val="21"/>
          <w:szCs w:val="21"/>
        </w:rPr>
        <w:t>Se houver indícios de inexequibilidade da proposta de preço, ou em caso da necessidade de esclarecimentos complementares, poderá ser efetuada diligência, e adotados, entre outros e no que couber, os seguintes procedimentos:</w:t>
      </w:r>
    </w:p>
    <w:p w14:paraId="1AD36605">
      <w:pPr>
        <w:pStyle w:val="50"/>
        <w:numPr>
          <w:ilvl w:val="2"/>
          <w:numId w:val="6"/>
        </w:numPr>
        <w:tabs>
          <w:tab w:val="left" w:pos="1134"/>
        </w:tabs>
        <w:spacing w:before="120" w:beforeAutospacing="0" w:after="0" w:afterAutospacing="0"/>
        <w:jc w:val="both"/>
        <w:textAlignment w:val="baseline"/>
        <w:rPr>
          <w:rFonts w:ascii="Times New Roman" w:hAnsi="Times New Roman"/>
          <w:sz w:val="21"/>
          <w:szCs w:val="21"/>
        </w:rPr>
      </w:pPr>
      <w:r>
        <w:rPr>
          <w:color w:val="000000"/>
          <w:sz w:val="21"/>
          <w:szCs w:val="21"/>
        </w:rPr>
        <w:t>Questionamentos junto à proponente para a apresentação de justificativas e comprovações em relação aos custos com indícios de inexequibilidade;</w:t>
      </w:r>
    </w:p>
    <w:p w14:paraId="286574E7">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verificação de acordos, convenções coletivas ou sentenças normativas;</w:t>
      </w:r>
    </w:p>
    <w:p w14:paraId="06740C99">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levantamento de informações no Ministério do Trabalho e Previdência e consultas às Secretarias de Fazenda Federal, Distrital, Estadual ou Municipal;</w:t>
      </w:r>
    </w:p>
    <w:p w14:paraId="5EBDB140">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consultas a entidades ou conselhos de classe, sindicatos ou similares;</w:t>
      </w:r>
    </w:p>
    <w:p w14:paraId="38803262">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pesquisas em órgãos públicos ou empresas privadas para verificação de contratos da mesma natureza;</w:t>
      </w:r>
    </w:p>
    <w:p w14:paraId="71734CD2">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pesquisa de preço com fornecedores dos insumos utilizados, tais como atacadistas, lojas de suprimentos, supermercados e fabricantes;</w:t>
      </w:r>
    </w:p>
    <w:p w14:paraId="0EB71E39">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verificação de notas fiscais dos produtos adquiridos pelo proponente;</w:t>
      </w:r>
    </w:p>
    <w:p w14:paraId="7523EF1A">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levantamento de indicadores salariais ou trabalhistas publicados por órgãos de pesquisa;</w:t>
      </w:r>
    </w:p>
    <w:p w14:paraId="4D2F105E">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estudos setoriais;</w:t>
      </w:r>
    </w:p>
    <w:p w14:paraId="705D0165">
      <w:pPr>
        <w:pStyle w:val="50"/>
        <w:numPr>
          <w:ilvl w:val="2"/>
          <w:numId w:val="6"/>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análise de soluções técnicas e/ou condições excepcionalmente favoráveis que o proponente detenha para o fornecimento dos produtos; e</w:t>
      </w:r>
    </w:p>
    <w:p w14:paraId="22C003C6">
      <w:pPr>
        <w:pStyle w:val="50"/>
        <w:numPr>
          <w:ilvl w:val="2"/>
          <w:numId w:val="6"/>
        </w:numPr>
        <w:tabs>
          <w:tab w:val="left" w:pos="1134"/>
        </w:tabs>
        <w:spacing w:before="0" w:beforeAutospacing="0" w:after="120" w:afterAutospacing="0"/>
        <w:jc w:val="both"/>
        <w:textAlignment w:val="baseline"/>
        <w:rPr>
          <w:rFonts w:ascii="Times New Roman" w:hAnsi="Times New Roman"/>
          <w:sz w:val="21"/>
          <w:szCs w:val="21"/>
        </w:rPr>
      </w:pPr>
      <w:r>
        <w:rPr>
          <w:color w:val="000000"/>
          <w:sz w:val="21"/>
          <w:szCs w:val="21"/>
        </w:rPr>
        <w:t>demais verificações que porventura se fizerem necessárias.</w:t>
      </w:r>
    </w:p>
    <w:p w14:paraId="2C93AFBE">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sz w:val="21"/>
          <w:szCs w:val="21"/>
        </w:rPr>
        <w:t xml:space="preserve">A </w:t>
      </w:r>
      <w:r>
        <w:rPr>
          <w:color w:val="000000"/>
          <w:sz w:val="21"/>
          <w:szCs w:val="21"/>
        </w:rPr>
        <w:t>inexequibilidade</w:t>
      </w:r>
      <w:r>
        <w:rPr>
          <w:sz w:val="21"/>
          <w:szCs w:val="21"/>
        </w:rPr>
        <w:t xml:space="preserve"> só será considerada após diligência do pregoeiro, que comprove:</w:t>
      </w:r>
    </w:p>
    <w:p w14:paraId="1F20AAEC">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 xml:space="preserve">que o </w:t>
      </w:r>
      <w:r>
        <w:rPr>
          <w:color w:val="000000"/>
          <w:sz w:val="21"/>
          <w:szCs w:val="21"/>
        </w:rPr>
        <w:t>custo</w:t>
      </w:r>
      <w:r>
        <w:rPr>
          <w:sz w:val="21"/>
          <w:szCs w:val="21"/>
        </w:rPr>
        <w:t xml:space="preserve"> do licitante ultrapassa o valor da proposta; e</w:t>
      </w:r>
    </w:p>
    <w:p w14:paraId="4B5A7E2F">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inexistirem custos de oportunidade capazes de justificar o vulto da oferta.</w:t>
      </w:r>
    </w:p>
    <w:p w14:paraId="4B3D6C7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inexequibilidade da proposta será considerada quando a diligência comprovar que os custos da licitante ultrapassam o valor da proposta, bem como se inexistirem custos de oportunidade capazes de justificar o vulto da oferta.</w:t>
      </w:r>
    </w:p>
    <w:p w14:paraId="202367EE">
      <w:pPr>
        <w:pStyle w:val="2"/>
        <w:spacing w:before="360" w:after="0"/>
        <w:rPr>
          <w:sz w:val="21"/>
          <w:szCs w:val="21"/>
        </w:rPr>
      </w:pPr>
      <w:bookmarkStart w:id="27" w:name="_Toc149517446"/>
      <w:r>
        <w:rPr>
          <w:rStyle w:val="53"/>
          <w:sz w:val="21"/>
          <w:szCs w:val="21"/>
        </w:rPr>
        <w:t>PROPOSTA CLASSIFICADA EM PRIMEIRO LUGAR</w:t>
      </w:r>
      <w:bookmarkEnd w:id="27"/>
      <w:r>
        <w:rPr>
          <w:rStyle w:val="53"/>
          <w:sz w:val="21"/>
          <w:szCs w:val="21"/>
        </w:rPr>
        <w:t> </w:t>
      </w:r>
    </w:p>
    <w:p w14:paraId="2FAE8A7A">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Na hipótese de a proposta não ser aceitável ou se a licitante classificada em primeiro lugar não atender às exigências para a habilitação, o(a) </w:t>
      </w:r>
      <w:r>
        <w:rPr>
          <w:sz w:val="21"/>
          <w:szCs w:val="21"/>
        </w:rPr>
        <w:t>Pregoeiro</w:t>
      </w:r>
      <w:r>
        <w:rPr>
          <w:color w:val="000000"/>
          <w:sz w:val="21"/>
          <w:szCs w:val="21"/>
        </w:rPr>
        <w:t xml:space="preserve"> examinará a proposta subsequente até a apuração de uma proposta que atenda aos requisitos descritos neste Edital.</w:t>
      </w:r>
    </w:p>
    <w:p w14:paraId="111737B2">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Constatado o atendimento às exigências fixadas neste Edital, a licitante classificada em primeiro lugar será declarada vencedora da licitação.</w:t>
      </w:r>
    </w:p>
    <w:p w14:paraId="2313022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No julgamento da habilitação e das propostas, o </w:t>
      </w:r>
      <w:r>
        <w:rPr>
          <w:sz w:val="21"/>
          <w:szCs w:val="21"/>
        </w:rPr>
        <w:t>Pregoeiro</w:t>
      </w:r>
      <w:r>
        <w:rPr>
          <w:color w:val="000000"/>
          <w:sz w:val="21"/>
          <w:szCs w:val="21"/>
        </w:rPr>
        <w:t xml:space="preserve"> poderá sanar erros ou falhas que não alterem substancialmente as propostas, dos documentos de habilitação e sua validade jurídica, mediante despacho fundamentado, registrado em ata e acessível a todos, atribuindo-lhes validade e eficácia para fins de habilitação e classificação (</w:t>
      </w:r>
      <w:r>
        <w:rPr>
          <w:sz w:val="21"/>
          <w:szCs w:val="21"/>
        </w:rPr>
        <w:fldChar w:fldCharType="begin"/>
      </w:r>
      <w:r>
        <w:rPr>
          <w:rStyle w:val="62"/>
          <w:sz w:val="21"/>
          <w:szCs w:val="21"/>
        </w:rPr>
        <w:instrText xml:space="preserve"> HYPERLINK "https://www.planalto.gov.br/ccivil_03/_ato2019-2022/2021/lei/l14133.htm" \l "art64"</w:instrText>
      </w:r>
      <w:r>
        <w:rPr>
          <w:rStyle w:val="62"/>
          <w:sz w:val="21"/>
          <w:szCs w:val="21"/>
        </w:rPr>
        <w:fldChar w:fldCharType="separate"/>
      </w:r>
      <w:r>
        <w:rPr>
          <w:rStyle w:val="62"/>
          <w:sz w:val="21"/>
          <w:szCs w:val="21"/>
        </w:rPr>
        <w:t>art. 64, §1º, da Lei Federal nº 14.133, de 2021</w:t>
      </w:r>
      <w:r>
        <w:rPr>
          <w:rStyle w:val="62"/>
          <w:sz w:val="21"/>
          <w:szCs w:val="21"/>
        </w:rPr>
        <w:fldChar w:fldCharType="end"/>
      </w:r>
      <w:r>
        <w:rPr>
          <w:color w:val="000000"/>
          <w:sz w:val="21"/>
          <w:szCs w:val="21"/>
        </w:rPr>
        <w:t>).</w:t>
      </w:r>
    </w:p>
    <w:p w14:paraId="6B7A959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Caso haja necessidade de suspensão da sessão pública para a realização de diligências, com vistas ao saneamento de que trata item anterior, a sessão pública será reiniciada mediante aviso prévio no sistema com, no mínimo, 12 (doze) horas de antecedência, sendo a ocorrência registrada em ata e disponibilizada no </w:t>
      </w:r>
      <w:r>
        <w:rPr>
          <w:sz w:val="21"/>
          <w:szCs w:val="21"/>
        </w:rPr>
        <w:t xml:space="preserve">Portal Licitanet, disponível no endereço eletrônico: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color w:val="000000"/>
          <w:sz w:val="21"/>
          <w:szCs w:val="21"/>
        </w:rPr>
        <w:t>.</w:t>
      </w:r>
    </w:p>
    <w:p w14:paraId="066CC1A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A proposta de preços classificada em primeiro lugar, ajustada ao último lance ofertado pela licitante e, se necessário, com os documentos complementares solicitados pelo(a) </w:t>
      </w:r>
      <w:r>
        <w:rPr>
          <w:sz w:val="21"/>
          <w:szCs w:val="21"/>
        </w:rPr>
        <w:t>Pregoeiro</w:t>
      </w:r>
      <w:r>
        <w:rPr>
          <w:color w:val="000000"/>
          <w:sz w:val="21"/>
          <w:szCs w:val="21"/>
        </w:rPr>
        <w:t>, deverá ser anexada ao sistema eletrônico após a solicitação pela opção “Convocar Anexo”, no prazo de 2 (duas) horas, contado de sua solicitação.</w:t>
      </w:r>
    </w:p>
    <w:p w14:paraId="51C77ED7">
      <w:pPr>
        <w:pStyle w:val="50"/>
        <w:numPr>
          <w:ilvl w:val="1"/>
          <w:numId w:val="1"/>
        </w:numPr>
        <w:tabs>
          <w:tab w:val="left" w:pos="1134"/>
        </w:tabs>
        <w:spacing w:before="0" w:beforeAutospacing="0" w:after="120" w:afterAutospacing="0"/>
        <w:ind w:left="-87" w:leftChars="0" w:firstLine="567" w:firstLineChars="0"/>
        <w:jc w:val="both"/>
        <w:textAlignment w:val="baseline"/>
        <w:rPr>
          <w:rFonts w:ascii="Times New Roman" w:hAnsi="Times New Roman"/>
          <w:sz w:val="21"/>
          <w:szCs w:val="21"/>
        </w:rPr>
      </w:pPr>
      <w:r>
        <w:rPr>
          <w:color w:val="000000"/>
          <w:sz w:val="21"/>
          <w:szCs w:val="21"/>
        </w:rPr>
        <w:t>O prazo definido no item anterior poderá ser prorrogado por igual período, quando:</w:t>
      </w:r>
    </w:p>
    <w:p w14:paraId="50D20A9C">
      <w:pPr>
        <w:pStyle w:val="50"/>
        <w:numPr>
          <w:ilvl w:val="2"/>
          <w:numId w:val="7"/>
        </w:numPr>
        <w:tabs>
          <w:tab w:val="left" w:pos="1134"/>
        </w:tabs>
        <w:spacing w:before="120" w:beforeAutospacing="0" w:after="0" w:afterAutospacing="0"/>
        <w:jc w:val="both"/>
        <w:textAlignment w:val="baseline"/>
        <w:rPr>
          <w:rFonts w:ascii="Times New Roman" w:hAnsi="Times New Roman"/>
          <w:sz w:val="21"/>
          <w:szCs w:val="21"/>
        </w:rPr>
      </w:pPr>
      <w:r>
        <w:rPr>
          <w:color w:val="000000"/>
          <w:sz w:val="21"/>
          <w:szCs w:val="21"/>
        </w:rPr>
        <w:t xml:space="preserve">solicitado pela licitante, mediante justificativa aceita pelo </w:t>
      </w:r>
      <w:r>
        <w:rPr>
          <w:sz w:val="21"/>
          <w:szCs w:val="21"/>
        </w:rPr>
        <w:t>Pregoeiro</w:t>
      </w:r>
      <w:r>
        <w:rPr>
          <w:color w:val="000000"/>
          <w:sz w:val="21"/>
          <w:szCs w:val="21"/>
        </w:rPr>
        <w:t>; ou</w:t>
      </w:r>
    </w:p>
    <w:p w14:paraId="0669DAD7">
      <w:pPr>
        <w:pStyle w:val="50"/>
        <w:numPr>
          <w:ilvl w:val="2"/>
          <w:numId w:val="7"/>
        </w:numPr>
        <w:tabs>
          <w:tab w:val="left" w:pos="1134"/>
        </w:tabs>
        <w:spacing w:before="0" w:beforeAutospacing="0" w:after="120" w:afterAutospacing="0"/>
        <w:jc w:val="both"/>
        <w:textAlignment w:val="baseline"/>
        <w:rPr>
          <w:rFonts w:ascii="Times New Roman" w:hAnsi="Times New Roman"/>
          <w:sz w:val="21"/>
          <w:szCs w:val="21"/>
        </w:rPr>
      </w:pPr>
      <w:r>
        <w:rPr>
          <w:color w:val="000000"/>
          <w:sz w:val="21"/>
          <w:szCs w:val="21"/>
        </w:rPr>
        <w:t xml:space="preserve">de ofício, a critério do </w:t>
      </w:r>
      <w:r>
        <w:rPr>
          <w:sz w:val="21"/>
          <w:szCs w:val="21"/>
        </w:rPr>
        <w:t>Pregoeiro</w:t>
      </w:r>
      <w:r>
        <w:rPr>
          <w:color w:val="000000"/>
          <w:sz w:val="21"/>
          <w:szCs w:val="21"/>
        </w:rPr>
        <w:t>, quando constatado que o prazo estabelecido não é suficiente para o envio dos documentos exigidos.</w:t>
      </w:r>
    </w:p>
    <w:p w14:paraId="494D73D3">
      <w:pPr>
        <w:pStyle w:val="50"/>
        <w:numPr>
          <w:ilvl w:val="1"/>
          <w:numId w:val="1"/>
        </w:numPr>
        <w:tabs>
          <w:tab w:val="left" w:pos="1134"/>
        </w:tabs>
        <w:spacing w:before="120" w:beforeAutospacing="0" w:after="120" w:afterAutospacing="0"/>
        <w:ind w:left="-87" w:leftChars="0" w:firstLine="567" w:firstLineChars="0"/>
        <w:jc w:val="both"/>
        <w:textAlignment w:val="baseline"/>
        <w:rPr>
          <w:rFonts w:ascii="Times New Roman" w:hAnsi="Times New Roman"/>
          <w:sz w:val="21"/>
          <w:szCs w:val="21"/>
        </w:rPr>
      </w:pPr>
      <w:r>
        <w:rPr>
          <w:color w:val="000000"/>
          <w:sz w:val="21"/>
          <w:szCs w:val="21"/>
        </w:rPr>
        <w:t>A proposta de preços deverá ser elaborada com observância das seguintes exigências:</w:t>
      </w:r>
    </w:p>
    <w:p w14:paraId="747468CB">
      <w:pPr>
        <w:pStyle w:val="50"/>
        <w:numPr>
          <w:ilvl w:val="2"/>
          <w:numId w:val="8"/>
        </w:numPr>
        <w:tabs>
          <w:tab w:val="left" w:pos="1134"/>
        </w:tabs>
        <w:spacing w:before="120" w:beforeAutospacing="0" w:after="0" w:afterAutospacing="0"/>
        <w:jc w:val="both"/>
        <w:textAlignment w:val="baseline"/>
        <w:rPr>
          <w:rFonts w:ascii="Times New Roman" w:hAnsi="Times New Roman"/>
          <w:sz w:val="21"/>
          <w:szCs w:val="21"/>
        </w:rPr>
      </w:pPr>
      <w:r>
        <w:rPr>
          <w:color w:val="000000"/>
          <w:sz w:val="21"/>
          <w:szCs w:val="21"/>
        </w:rPr>
        <w:t>não conter cotações alternativas, emendas ou entrelinhas;</w:t>
      </w:r>
    </w:p>
    <w:p w14:paraId="1C89F49D">
      <w:pPr>
        <w:pStyle w:val="50"/>
        <w:numPr>
          <w:ilvl w:val="2"/>
          <w:numId w:val="8"/>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fazer menção ao número deste Edital, conter a razão social do licitante, seu CNPJ, dados bancários e endereço completo;</w:t>
      </w:r>
    </w:p>
    <w:p w14:paraId="0B801F1E">
      <w:pPr>
        <w:pStyle w:val="50"/>
        <w:numPr>
          <w:ilvl w:val="3"/>
          <w:numId w:val="8"/>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a falta do CNPJ e (ou) endereço completo poderá ser preenchida pelos dados constantes no sistema eletrônico.</w:t>
      </w:r>
    </w:p>
    <w:p w14:paraId="2608D997">
      <w:pPr>
        <w:pStyle w:val="50"/>
        <w:numPr>
          <w:ilvl w:val="2"/>
          <w:numId w:val="8"/>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conter cotação de preço unitário e total para o item/lote ofertado, em moeda corrente nacional (Real), incluídos todos os tributos, taxas, fretes e demais encargos pertinentes, conforme Modelo de Proposta previsto no Anexo VI deste Edital;</w:t>
      </w:r>
    </w:p>
    <w:p w14:paraId="3B1CFD1B">
      <w:pPr>
        <w:pStyle w:val="50"/>
        <w:numPr>
          <w:ilvl w:val="3"/>
          <w:numId w:val="8"/>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 xml:space="preserve">os custos relacionados ao fornecimento do objeto deverão ser detalhados para efeito de eventual reequilíbrio dos preços contratados; </w:t>
      </w:r>
    </w:p>
    <w:p w14:paraId="2B5D6C7C">
      <w:pPr>
        <w:pStyle w:val="50"/>
        <w:numPr>
          <w:ilvl w:val="3"/>
          <w:numId w:val="8"/>
        </w:numPr>
        <w:tabs>
          <w:tab w:val="left" w:pos="1134"/>
        </w:tabs>
        <w:spacing w:before="0" w:beforeAutospacing="0" w:after="0" w:afterAutospacing="0"/>
        <w:jc w:val="both"/>
        <w:textAlignment w:val="baseline"/>
        <w:rPr>
          <w:sz w:val="21"/>
          <w:szCs w:val="21"/>
        </w:rPr>
      </w:pPr>
      <w:r>
        <w:rPr>
          <w:color w:val="000000"/>
          <w:sz w:val="21"/>
          <w:szCs w:val="21"/>
        </w:rPr>
        <w:t xml:space="preserve">o preço unitário/total máximo para o item/lote é o que consta do </w:t>
      </w:r>
      <w:r>
        <w:rPr>
          <w:rStyle w:val="53"/>
          <w:color w:val="000000"/>
          <w:sz w:val="21"/>
          <w:szCs w:val="21"/>
        </w:rPr>
        <w:t>Termo de Referência</w:t>
      </w:r>
      <w:r>
        <w:rPr>
          <w:color w:val="000000"/>
          <w:sz w:val="21"/>
          <w:szCs w:val="21"/>
        </w:rPr>
        <w:t xml:space="preserve"> - Anexo I deste Edital;</w:t>
      </w:r>
    </w:p>
    <w:p w14:paraId="1CF0F076">
      <w:pPr>
        <w:pStyle w:val="50"/>
        <w:numPr>
          <w:ilvl w:val="2"/>
          <w:numId w:val="8"/>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conter a marca e, se existir, informar o modelo;</w:t>
      </w:r>
    </w:p>
    <w:p w14:paraId="4F563580">
      <w:pPr>
        <w:pStyle w:val="50"/>
        <w:numPr>
          <w:ilvl w:val="3"/>
          <w:numId w:val="8"/>
        </w:numPr>
        <w:tabs>
          <w:tab w:val="left" w:pos="1134"/>
        </w:tabs>
        <w:spacing w:before="0" w:beforeAutospacing="0" w:after="0" w:afterAutospacing="0"/>
        <w:jc w:val="both"/>
        <w:textAlignment w:val="baseline"/>
        <w:rPr>
          <w:sz w:val="21"/>
          <w:szCs w:val="21"/>
        </w:rPr>
      </w:pPr>
      <w:r>
        <w:rPr>
          <w:color w:val="000000"/>
          <w:sz w:val="21"/>
          <w:szCs w:val="21"/>
        </w:rPr>
        <w:t xml:space="preserve">será aceita a oferta de produtos com marcas diferentes da marca de referência, desde que apresentem qualidade igual ou superior, observado o </w:t>
      </w:r>
      <w:r>
        <w:rPr>
          <w:sz w:val="21"/>
          <w:szCs w:val="21"/>
        </w:rPr>
        <w:fldChar w:fldCharType="begin"/>
      </w:r>
      <w:r>
        <w:rPr>
          <w:rStyle w:val="62"/>
          <w:sz w:val="21"/>
          <w:szCs w:val="21"/>
        </w:rPr>
        <w:instrText xml:space="preserve"> HYPERLINK "https://www.planalto.gov.br/ccivil_03/_ato2019-2022/2021/lei/l14133.htm" \l "art42"</w:instrText>
      </w:r>
      <w:r>
        <w:rPr>
          <w:rStyle w:val="62"/>
          <w:sz w:val="21"/>
          <w:szCs w:val="21"/>
        </w:rPr>
        <w:fldChar w:fldCharType="separate"/>
      </w:r>
      <w:r>
        <w:rPr>
          <w:rStyle w:val="62"/>
          <w:sz w:val="21"/>
          <w:szCs w:val="21"/>
        </w:rPr>
        <w:t>art. 42 da Lei Federal nº 14.133, de 2021</w:t>
      </w:r>
      <w:r>
        <w:rPr>
          <w:rStyle w:val="62"/>
          <w:sz w:val="21"/>
          <w:szCs w:val="21"/>
        </w:rPr>
        <w:fldChar w:fldCharType="end"/>
      </w:r>
      <w:r>
        <w:rPr>
          <w:color w:val="000000"/>
          <w:sz w:val="21"/>
          <w:szCs w:val="21"/>
        </w:rPr>
        <w:t>.</w:t>
      </w:r>
    </w:p>
    <w:p w14:paraId="65CA18AD">
      <w:pPr>
        <w:pStyle w:val="50"/>
        <w:numPr>
          <w:ilvl w:val="2"/>
          <w:numId w:val="8"/>
        </w:numPr>
        <w:tabs>
          <w:tab w:val="left" w:pos="1134"/>
        </w:tabs>
        <w:spacing w:before="0" w:beforeAutospacing="0" w:after="120" w:afterAutospacing="0"/>
        <w:jc w:val="both"/>
        <w:textAlignment w:val="baseline"/>
        <w:rPr>
          <w:rFonts w:ascii="Times New Roman" w:hAnsi="Times New Roman"/>
          <w:sz w:val="21"/>
          <w:szCs w:val="21"/>
        </w:rPr>
      </w:pPr>
      <w:r>
        <w:rPr>
          <w:color w:val="000000"/>
          <w:sz w:val="21"/>
          <w:szCs w:val="21"/>
        </w:rPr>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717DEBA3">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A apresentação da proposta implicará, necessariamente, a anuência a todas as exigências contidas neste Edital e seus anexos, inclusive quanto ao prazo de entrega e condições de garantia, conforme </w:t>
      </w:r>
      <w:r>
        <w:rPr>
          <w:rStyle w:val="53"/>
          <w:color w:val="000000"/>
          <w:sz w:val="21"/>
          <w:szCs w:val="21"/>
        </w:rPr>
        <w:t>Termo de Referência</w:t>
      </w:r>
      <w:r>
        <w:rPr>
          <w:color w:val="000000"/>
          <w:sz w:val="21"/>
          <w:szCs w:val="21"/>
        </w:rPr>
        <w:t xml:space="preserve"> - Anexo I deste Edital, bem como quanto ao prazo de validade da proposta, não inferior a 60 (sessenta) dias, contados da data de sua entrega (</w:t>
      </w:r>
      <w:r>
        <w:rPr>
          <w:sz w:val="21"/>
          <w:szCs w:val="21"/>
        </w:rPr>
        <w:fldChar w:fldCharType="begin"/>
      </w:r>
      <w:r>
        <w:rPr>
          <w:rStyle w:val="62"/>
          <w:sz w:val="21"/>
          <w:szCs w:val="21"/>
        </w:rPr>
        <w:instrText xml:space="preserve"> HYPERLINK "https://www.planalto.gov.br/ccivil_03/_ato2019-2022/2021/lei/l14133.htm" \l "art90"</w:instrText>
      </w:r>
      <w:r>
        <w:rPr>
          <w:rStyle w:val="62"/>
          <w:sz w:val="21"/>
          <w:szCs w:val="21"/>
        </w:rPr>
        <w:fldChar w:fldCharType="separate"/>
      </w:r>
      <w:r>
        <w:rPr>
          <w:rStyle w:val="62"/>
          <w:sz w:val="21"/>
          <w:szCs w:val="21"/>
        </w:rPr>
        <w:t>art. 90, §3º, da Lei Federal nº 14.133, de 2021</w:t>
      </w:r>
      <w:r>
        <w:rPr>
          <w:rStyle w:val="62"/>
          <w:sz w:val="21"/>
          <w:szCs w:val="21"/>
        </w:rPr>
        <w:fldChar w:fldCharType="end"/>
      </w:r>
      <w:r>
        <w:rPr>
          <w:color w:val="000000"/>
          <w:sz w:val="21"/>
          <w:szCs w:val="21"/>
        </w:rPr>
        <w:t>).</w:t>
      </w:r>
    </w:p>
    <w:p w14:paraId="080B37BC">
      <w:pPr>
        <w:pStyle w:val="2"/>
        <w:spacing w:before="360" w:after="0"/>
        <w:rPr>
          <w:sz w:val="21"/>
          <w:szCs w:val="21"/>
        </w:rPr>
      </w:pPr>
      <w:bookmarkStart w:id="28" w:name="_Toc149517447"/>
      <w:r>
        <w:rPr>
          <w:rStyle w:val="53"/>
          <w:sz w:val="21"/>
          <w:szCs w:val="21"/>
        </w:rPr>
        <w:t>ACEITABILIDADE DA PROPOSTA</w:t>
      </w:r>
      <w:bookmarkEnd w:id="28"/>
    </w:p>
    <w:p w14:paraId="0CF03661">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Encerrada a etapa de negociação, o </w:t>
      </w:r>
      <w:r>
        <w:rPr>
          <w:sz w:val="21"/>
          <w:szCs w:val="21"/>
        </w:rPr>
        <w:t>Pregoeiro</w:t>
      </w:r>
      <w:r>
        <w:rPr>
          <w:color w:val="000000"/>
          <w:sz w:val="21"/>
          <w:szCs w:val="21"/>
        </w:rPr>
        <w:t xml:space="preserve"> examinará a proposta classificada em primeiro lugar quanto à adequação ao objeto e à compatibilidade do preço em relação ao máximo estipulado para contratação neste Edital e em seus anexos.</w:t>
      </w:r>
    </w:p>
    <w:p w14:paraId="39ECA9F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licitante classificada em primeiro lugar deverá encaminhar a proposta de preços adequada ao novo valor por ela ofertado, em até 2 (duas) horas, bem como as especificações estipuladas no Edital e seus anexos.</w:t>
      </w:r>
    </w:p>
    <w:p w14:paraId="369AE90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Qualquer interessado poderá requerer que se realizem diligências para aferir a exequibilidade e a legalidade das propostas, devendo apresentar as provas ou os indícios que fundamentam a suspeita.</w:t>
      </w:r>
    </w:p>
    <w:p w14:paraId="0F5F199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Na hipótese de necessidade de suspensão da sessão pública para a realização de diligências, com vistas ao saneamento das propostas, a sessão pública somente poderá ser reiniciada mediante aviso prévio no sistema com, no mínimo, 12 (doze) horas de antecedência, e a ocorrência será registrada em ata.</w:t>
      </w:r>
    </w:p>
    <w:p w14:paraId="593CCEA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O </w:t>
      </w:r>
      <w:r>
        <w:rPr>
          <w:sz w:val="21"/>
          <w:szCs w:val="21"/>
        </w:rPr>
        <w:t>Pregoeiro</w:t>
      </w:r>
      <w:r>
        <w:rPr>
          <w:color w:val="000000"/>
          <w:sz w:val="21"/>
          <w:szCs w:val="21"/>
        </w:rPr>
        <w:t xml:space="preserve"> poderá convocar o licitante para enviar documento digital complementar, por meio de funcionalidade disponível no sistema, no prazo mínimo de 2 (duas) horas, sob pena de não aceitação da proposta.</w:t>
      </w:r>
    </w:p>
    <w:p w14:paraId="13F8ADB5">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O prazo estabelecido no item anterior poderá ser prorrogado pelo </w:t>
      </w:r>
      <w:r>
        <w:rPr>
          <w:sz w:val="21"/>
          <w:szCs w:val="21"/>
        </w:rPr>
        <w:t>Pregoeiro</w:t>
      </w:r>
      <w:r>
        <w:rPr>
          <w:color w:val="000000"/>
          <w:sz w:val="21"/>
          <w:szCs w:val="21"/>
        </w:rPr>
        <w:t xml:space="preserve"> por solicitação escrita e justificada do licitante, formulada antes de findo o prazo, e formalmente aceita pelo </w:t>
      </w:r>
      <w:r>
        <w:rPr>
          <w:sz w:val="21"/>
          <w:szCs w:val="21"/>
        </w:rPr>
        <w:t>Pregoeiro</w:t>
      </w:r>
      <w:r>
        <w:rPr>
          <w:color w:val="000000"/>
          <w:sz w:val="21"/>
          <w:szCs w:val="21"/>
        </w:rPr>
        <w:t>.</w:t>
      </w:r>
    </w:p>
    <w:p w14:paraId="52597DE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Para fins de análise da proposta quanto ao cumprimento das especificações do objeto, poderá ser colhida a manifestação escrita do setor requisitante do produto ou da área especializada no objeto.</w:t>
      </w:r>
    </w:p>
    <w:p w14:paraId="7FF80918">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Se a proposta ou lance vencedor for desclassificado, o </w:t>
      </w:r>
      <w:r>
        <w:rPr>
          <w:sz w:val="21"/>
          <w:szCs w:val="21"/>
        </w:rPr>
        <w:t>Pregoeiro</w:t>
      </w:r>
      <w:r>
        <w:rPr>
          <w:color w:val="000000"/>
          <w:sz w:val="21"/>
          <w:szCs w:val="21"/>
        </w:rPr>
        <w:t xml:space="preserve"> examinará a proposta ou lance subsequente, e, assim sucessivamente, na ordem de classificação.</w:t>
      </w:r>
    </w:p>
    <w:p w14:paraId="4CF99923">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O </w:t>
      </w:r>
      <w:r>
        <w:rPr>
          <w:sz w:val="21"/>
          <w:szCs w:val="21"/>
        </w:rPr>
        <w:t>Pregoeiro</w:t>
      </w:r>
      <w:r>
        <w:rPr>
          <w:color w:val="000000"/>
          <w:sz w:val="21"/>
          <w:szCs w:val="21"/>
        </w:rPr>
        <w:t xml:space="preserve"> poderá encaminhar, por meio do sistema eletrônico, contraproposta ao licitante que apresentou o lance mais vantajoso, com o fim de negociar a obtenção de melhor preço, vedada a negociação em condições diversas das previstas neste Edital. </w:t>
      </w:r>
    </w:p>
    <w:p w14:paraId="15FEB2B5">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Também nas hipóteses em que o </w:t>
      </w:r>
      <w:r>
        <w:rPr>
          <w:sz w:val="21"/>
          <w:szCs w:val="21"/>
        </w:rPr>
        <w:t>Pregoeiro</w:t>
      </w:r>
      <w:r>
        <w:rPr>
          <w:color w:val="000000"/>
          <w:sz w:val="21"/>
          <w:szCs w:val="21"/>
        </w:rPr>
        <w:t xml:space="preserve"> não aceitar a proposta do licitante vencedor e passar à subsequente, poderá negociar com o licitante para que seja obtido preço melhor. A(s) negociação(ões) será(ão) realizada(s) por meio do sistema, podendo ser acompanhada pelos demais licitantes. </w:t>
      </w:r>
    </w:p>
    <w:p w14:paraId="3FEFADC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Sempre que a proposta não for aceita, e antes de o </w:t>
      </w:r>
      <w:r>
        <w:rPr>
          <w:sz w:val="21"/>
          <w:szCs w:val="21"/>
        </w:rPr>
        <w:t>Pregoeiro</w:t>
      </w:r>
      <w:r>
        <w:rPr>
          <w:color w:val="000000"/>
          <w:sz w:val="21"/>
          <w:szCs w:val="21"/>
        </w:rPr>
        <w:t xml:space="preserve"> passar à subsequente, haverá nova verificação, pelo sistema, da eventual ocorrência do empate ficto, previsto nos </w:t>
      </w:r>
      <w:r>
        <w:rPr>
          <w:sz w:val="21"/>
          <w:szCs w:val="21"/>
        </w:rPr>
        <w:fldChar w:fldCharType="begin"/>
      </w:r>
      <w:r>
        <w:rPr>
          <w:rStyle w:val="62"/>
          <w:sz w:val="21"/>
          <w:szCs w:val="21"/>
        </w:rPr>
        <w:instrText xml:space="preserve"> HYPERLINK "https://www.planalto.gov.br/ccivil_03/leis/lcp/lcp123.htm" \l "art44"</w:instrText>
      </w:r>
      <w:r>
        <w:rPr>
          <w:rStyle w:val="62"/>
          <w:sz w:val="21"/>
          <w:szCs w:val="21"/>
        </w:rPr>
        <w:fldChar w:fldCharType="separate"/>
      </w:r>
      <w:r>
        <w:rPr>
          <w:rStyle w:val="62"/>
          <w:sz w:val="21"/>
          <w:szCs w:val="21"/>
        </w:rPr>
        <w:t>arts. 44 e 45 da Lei Complementar Federal nº 123, de 2006</w:t>
      </w:r>
      <w:r>
        <w:rPr>
          <w:rStyle w:val="62"/>
          <w:sz w:val="21"/>
          <w:szCs w:val="21"/>
        </w:rPr>
        <w:fldChar w:fldCharType="end"/>
      </w:r>
      <w:r>
        <w:rPr>
          <w:color w:val="000000"/>
          <w:sz w:val="21"/>
          <w:szCs w:val="21"/>
        </w:rPr>
        <w:t>, seguindo-se a disciplina antes estabelecida, se for o caso.</w:t>
      </w:r>
    </w:p>
    <w:p w14:paraId="22937B5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Havendo necessidade, o </w:t>
      </w:r>
      <w:r>
        <w:rPr>
          <w:sz w:val="21"/>
          <w:szCs w:val="21"/>
        </w:rPr>
        <w:t>Pregoeiro</w:t>
      </w:r>
      <w:r>
        <w:rPr>
          <w:color w:val="000000"/>
          <w:sz w:val="21"/>
          <w:szCs w:val="21"/>
        </w:rPr>
        <w:t xml:space="preserve"> suspenderá a sessão, informando no “</w:t>
      </w:r>
      <w:r>
        <w:rPr>
          <w:i/>
          <w:iCs/>
          <w:color w:val="000000"/>
          <w:sz w:val="21"/>
          <w:szCs w:val="21"/>
        </w:rPr>
        <w:t>chat</w:t>
      </w:r>
      <w:r>
        <w:rPr>
          <w:color w:val="000000"/>
          <w:sz w:val="21"/>
          <w:szCs w:val="21"/>
        </w:rPr>
        <w:t xml:space="preserve">” a nova data e horário para a continuidade da mesma. </w:t>
      </w:r>
    </w:p>
    <w:p w14:paraId="74DB9AC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Encerrada a análise quanto à aceitação da proposta, o </w:t>
      </w:r>
      <w:r>
        <w:rPr>
          <w:sz w:val="21"/>
          <w:szCs w:val="21"/>
        </w:rPr>
        <w:t>Pregoeiro</w:t>
      </w:r>
      <w:r>
        <w:rPr>
          <w:color w:val="000000"/>
          <w:sz w:val="21"/>
          <w:szCs w:val="21"/>
        </w:rPr>
        <w:t xml:space="preserve"> verificará a habilitação do licitante classificado em primeiro lugar, observado o disposto neste Edital.</w:t>
      </w:r>
    </w:p>
    <w:p w14:paraId="785E7C85">
      <w:pPr>
        <w:pStyle w:val="2"/>
        <w:spacing w:before="360" w:after="0"/>
        <w:rPr>
          <w:sz w:val="21"/>
          <w:szCs w:val="21"/>
        </w:rPr>
      </w:pPr>
      <w:bookmarkStart w:id="29" w:name="_Toc149517448"/>
      <w:r>
        <w:rPr>
          <w:rStyle w:val="53"/>
          <w:sz w:val="21"/>
          <w:szCs w:val="21"/>
        </w:rPr>
        <w:t>HABILITAÇÃO DA LICITANTE CLASSIFICADA EM PRIMEIRO LUGAR</w:t>
      </w:r>
      <w:bookmarkEnd w:id="29"/>
    </w:p>
    <w:p w14:paraId="2FF76219">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 licitante classificado em primeiro lugar na fase de propostas deverá encaminhar, nos termos deste Edital, a documentação relacionada nos itens a seguir, para fins de habilitação:</w:t>
      </w:r>
    </w:p>
    <w:p w14:paraId="4719C9CC">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Habilitação Jurídica;</w:t>
      </w:r>
    </w:p>
    <w:p w14:paraId="5247D399">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Qualificação Técnica;</w:t>
      </w:r>
    </w:p>
    <w:p w14:paraId="37A00455">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Regularidade Fiscal, Social e Trabalhista;</w:t>
      </w:r>
    </w:p>
    <w:p w14:paraId="441E6499">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Outros Documentos.</w:t>
      </w:r>
    </w:p>
    <w:p w14:paraId="01F594A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Os licitantes encaminharão, exclusivamente por meio do sistema eletrônico, concomitantemente com a proposta, os documentos de habilitação exigidos neste Edital, até a data e o horário estabelecidos para abertura da sessão pública, quando, então, encerrar-se-á automaticamente a etapa de envio dessa documentação.</w:t>
      </w:r>
    </w:p>
    <w:p w14:paraId="194B73AB">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documentação de habilitação poderá ser:</w:t>
      </w:r>
    </w:p>
    <w:p w14:paraId="37D482EC">
      <w:pPr>
        <w:pStyle w:val="50"/>
        <w:numPr>
          <w:ilvl w:val="2"/>
          <w:numId w:val="1"/>
        </w:numPr>
        <w:tabs>
          <w:tab w:val="left" w:pos="1134"/>
        </w:tabs>
        <w:spacing w:before="0" w:beforeAutospacing="0" w:after="0" w:afterAutospacing="0"/>
        <w:jc w:val="both"/>
        <w:textAlignment w:val="baseline"/>
        <w:rPr>
          <w:sz w:val="21"/>
          <w:szCs w:val="21"/>
        </w:rPr>
      </w:pPr>
      <w:bookmarkStart w:id="30" w:name="art70i"/>
      <w:bookmarkEnd w:id="30"/>
      <w:r>
        <w:rPr>
          <w:color w:val="000000"/>
          <w:sz w:val="21"/>
          <w:szCs w:val="21"/>
        </w:rPr>
        <w:t>apresentada em original, por cópia ou por qualquer outro meio expressamente admitido pela Administração (</w:t>
      </w:r>
      <w:r>
        <w:rPr>
          <w:sz w:val="21"/>
          <w:szCs w:val="21"/>
        </w:rPr>
        <w:fldChar w:fldCharType="begin"/>
      </w:r>
      <w:r>
        <w:rPr>
          <w:rStyle w:val="62"/>
          <w:sz w:val="21"/>
          <w:szCs w:val="21"/>
        </w:rPr>
        <w:instrText xml:space="preserve"> HYPERLINK "https://www.planalto.gov.br/ccivil_03/_ato2019-2022/2021/lei/l14133.htm" \l "art70"</w:instrText>
      </w:r>
      <w:r>
        <w:rPr>
          <w:rStyle w:val="62"/>
          <w:sz w:val="21"/>
          <w:szCs w:val="21"/>
        </w:rPr>
        <w:fldChar w:fldCharType="separate"/>
      </w:r>
      <w:r>
        <w:rPr>
          <w:rStyle w:val="62"/>
          <w:sz w:val="21"/>
          <w:szCs w:val="21"/>
        </w:rPr>
        <w:t>art. 70, I, da Lei Federal nº 14.133, de 2021</w:t>
      </w:r>
      <w:r>
        <w:rPr>
          <w:rStyle w:val="62"/>
          <w:sz w:val="21"/>
          <w:szCs w:val="21"/>
        </w:rPr>
        <w:fldChar w:fldCharType="end"/>
      </w:r>
      <w:r>
        <w:rPr>
          <w:color w:val="000000"/>
          <w:sz w:val="21"/>
          <w:szCs w:val="21"/>
        </w:rPr>
        <w:t xml:space="preserve">); </w:t>
      </w:r>
    </w:p>
    <w:p w14:paraId="650A64C2">
      <w:pPr>
        <w:pStyle w:val="50"/>
        <w:numPr>
          <w:ilvl w:val="2"/>
          <w:numId w:val="1"/>
        </w:numPr>
        <w:tabs>
          <w:tab w:val="left" w:pos="1134"/>
        </w:tabs>
        <w:spacing w:before="0" w:beforeAutospacing="0" w:after="0" w:afterAutospacing="0"/>
        <w:jc w:val="both"/>
        <w:textAlignment w:val="baseline"/>
        <w:rPr>
          <w:sz w:val="21"/>
          <w:szCs w:val="21"/>
        </w:rPr>
      </w:pPr>
      <w:bookmarkStart w:id="31" w:name="art70ii"/>
      <w:bookmarkEnd w:id="31"/>
      <w:r>
        <w:rPr>
          <w:color w:val="000000"/>
          <w:sz w:val="21"/>
          <w:szCs w:val="21"/>
        </w:rPr>
        <w:t>substituída por registro cadastral unificado disponível no PNCP - Portal Nacional de Contratações Públicas (</w:t>
      </w:r>
      <w:r>
        <w:rPr>
          <w:sz w:val="21"/>
          <w:szCs w:val="21"/>
        </w:rPr>
        <w:fldChar w:fldCharType="begin"/>
      </w:r>
      <w:r>
        <w:rPr>
          <w:rStyle w:val="62"/>
          <w:sz w:val="21"/>
          <w:szCs w:val="21"/>
        </w:rPr>
        <w:instrText xml:space="preserve"> HYPERLINK "https://www.planalto.gov.br/ccivil_03/_ato2019-2022/2021/lei/l14133.htm" \l "art87"</w:instrText>
      </w:r>
      <w:r>
        <w:rPr>
          <w:rStyle w:val="62"/>
          <w:sz w:val="21"/>
          <w:szCs w:val="21"/>
        </w:rPr>
        <w:fldChar w:fldCharType="separate"/>
      </w:r>
      <w:r>
        <w:rPr>
          <w:rStyle w:val="62"/>
          <w:sz w:val="21"/>
          <w:szCs w:val="21"/>
        </w:rPr>
        <w:t>art. 87 da Lei Federal nº 14.133, de 2021</w:t>
      </w:r>
      <w:r>
        <w:rPr>
          <w:rStyle w:val="62"/>
          <w:sz w:val="21"/>
          <w:szCs w:val="21"/>
        </w:rPr>
        <w:fldChar w:fldCharType="end"/>
      </w:r>
      <w:r>
        <w:rPr>
          <w:color w:val="000000"/>
          <w:sz w:val="21"/>
          <w:szCs w:val="21"/>
        </w:rPr>
        <w:t>) ou no Sistema de Cadastramento Unificado de Fornecedores - SICAF (</w:t>
      </w:r>
      <w:r>
        <w:rPr>
          <w:sz w:val="21"/>
          <w:szCs w:val="21"/>
        </w:rPr>
        <w:fldChar w:fldCharType="begin"/>
      </w:r>
      <w:r>
        <w:rPr>
          <w:sz w:val="21"/>
          <w:szCs w:val="21"/>
        </w:rPr>
        <w:instrText xml:space="preserve"> HYPERLINK "https://www.gov.br/compras/pt-br/acesso-a-informacao/legislacao/instrucoes-normativas/instrucao-normativa-no-3-de-26-de-abril-de-2018" \h </w:instrText>
      </w:r>
      <w:r>
        <w:rPr>
          <w:sz w:val="21"/>
          <w:szCs w:val="21"/>
        </w:rPr>
        <w:fldChar w:fldCharType="separate"/>
      </w:r>
      <w:r>
        <w:rPr>
          <w:rStyle w:val="62"/>
          <w:sz w:val="21"/>
          <w:szCs w:val="21"/>
        </w:rPr>
        <w:t>Instrução Normativa nº 3, de 2018</w:t>
      </w:r>
      <w:r>
        <w:rPr>
          <w:rStyle w:val="62"/>
          <w:sz w:val="21"/>
          <w:szCs w:val="21"/>
        </w:rPr>
        <w:fldChar w:fldCharType="end"/>
      </w:r>
      <w:r>
        <w:rPr>
          <w:color w:val="000000"/>
          <w:sz w:val="21"/>
          <w:szCs w:val="21"/>
        </w:rPr>
        <w:t>, do Secretário de Gestão do Ministério do Planejamento, Desenvolvimento e Gestão).</w:t>
      </w:r>
    </w:p>
    <w:p w14:paraId="03C38A97">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 envio dos documentos de habilitação exigidos neste Edital, ocorrerá por meio de chave de acesso e senha.</w:t>
      </w:r>
    </w:p>
    <w:p w14:paraId="489C08C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Os licitantes poderão deixar de apresentar, total ou parcialmente, os documentos de habilitação que constem no sistema de registro cadastral unificado disponível no PNCP - Portal Nacional de Contratações Públicas (</w:t>
      </w:r>
      <w:r>
        <w:rPr>
          <w:sz w:val="21"/>
          <w:szCs w:val="21"/>
        </w:rPr>
        <w:fldChar w:fldCharType="begin"/>
      </w:r>
      <w:r>
        <w:rPr>
          <w:rStyle w:val="62"/>
          <w:sz w:val="21"/>
          <w:szCs w:val="21"/>
        </w:rPr>
        <w:instrText xml:space="preserve"> HYPERLINK "https://www.planalto.gov.br/ccivil_03/_ato2019-2022/2021/lei/l14133.htm" \l "art87"</w:instrText>
      </w:r>
      <w:r>
        <w:rPr>
          <w:rStyle w:val="62"/>
          <w:sz w:val="21"/>
          <w:szCs w:val="21"/>
        </w:rPr>
        <w:fldChar w:fldCharType="separate"/>
      </w:r>
      <w:r>
        <w:rPr>
          <w:rStyle w:val="62"/>
          <w:sz w:val="21"/>
          <w:szCs w:val="21"/>
        </w:rPr>
        <w:t>art. 87 da Lei Federal nº 14.133, de 2021</w:t>
      </w:r>
      <w:r>
        <w:rPr>
          <w:rStyle w:val="62"/>
          <w:sz w:val="21"/>
          <w:szCs w:val="21"/>
        </w:rPr>
        <w:fldChar w:fldCharType="end"/>
      </w:r>
      <w:r>
        <w:rPr>
          <w:color w:val="000000"/>
          <w:sz w:val="21"/>
          <w:szCs w:val="21"/>
        </w:rPr>
        <w:t>) ou no Sistema de Cadastramento Unificado de Fornecedores - SICAF (</w:t>
      </w:r>
      <w:r>
        <w:rPr>
          <w:sz w:val="21"/>
          <w:szCs w:val="21"/>
        </w:rPr>
        <w:fldChar w:fldCharType="begin"/>
      </w:r>
      <w:r>
        <w:rPr>
          <w:sz w:val="21"/>
          <w:szCs w:val="21"/>
        </w:rPr>
        <w:instrText xml:space="preserve"> HYPERLINK "https://www.gov.br/compras/pt-br/acesso-a-informacao/legislacao/instrucoes-normativas/instrucao-normativa-no-3-de-26-de-abril-de-2018" \h </w:instrText>
      </w:r>
      <w:r>
        <w:rPr>
          <w:sz w:val="21"/>
          <w:szCs w:val="21"/>
        </w:rPr>
        <w:fldChar w:fldCharType="separate"/>
      </w:r>
      <w:r>
        <w:rPr>
          <w:rStyle w:val="62"/>
          <w:sz w:val="21"/>
          <w:szCs w:val="21"/>
        </w:rPr>
        <w:t>Instrução Normativa nº 3, de 2018</w:t>
      </w:r>
      <w:r>
        <w:rPr>
          <w:rStyle w:val="62"/>
          <w:sz w:val="21"/>
          <w:szCs w:val="21"/>
        </w:rPr>
        <w:fldChar w:fldCharType="end"/>
      </w:r>
      <w:r>
        <w:rPr>
          <w:color w:val="000000"/>
          <w:sz w:val="21"/>
          <w:szCs w:val="21"/>
        </w:rPr>
        <w:t>, do Secretário de Gestão do Ministério do Planejamento, Desenvolvimento e Gestão).</w:t>
      </w:r>
    </w:p>
    <w:p w14:paraId="4413A79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Os licitantes que optarem por utilizar um dos cadastros indicados no item anterior deverão apresentar o certificado cadastral respectivo, sendo assegurado aos demais licitantes o direito de acesso aos dados constantes dos sistemas.</w:t>
      </w:r>
    </w:p>
    <w:p w14:paraId="77186DF1">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É de responsabilidade do licitante conferir a exatidão dos seus dados cadastrais no registro cadastral unificado do PNCP (</w:t>
      </w:r>
      <w:r>
        <w:rPr>
          <w:sz w:val="21"/>
          <w:szCs w:val="21"/>
        </w:rPr>
        <w:fldChar w:fldCharType="begin"/>
      </w:r>
      <w:r>
        <w:rPr>
          <w:sz w:val="21"/>
          <w:szCs w:val="21"/>
        </w:rPr>
        <w:instrText xml:space="preserve"> HYPERLINK "https://pncp.gov.br/" \h </w:instrText>
      </w:r>
      <w:r>
        <w:rPr>
          <w:sz w:val="21"/>
          <w:szCs w:val="21"/>
        </w:rPr>
        <w:fldChar w:fldCharType="separate"/>
      </w:r>
      <w:r>
        <w:rPr>
          <w:rStyle w:val="62"/>
          <w:sz w:val="21"/>
          <w:szCs w:val="21"/>
        </w:rPr>
        <w:t>https://pncp.gov.br/</w:t>
      </w:r>
      <w:r>
        <w:rPr>
          <w:rStyle w:val="62"/>
          <w:sz w:val="21"/>
          <w:szCs w:val="21"/>
        </w:rPr>
        <w:fldChar w:fldCharType="end"/>
      </w:r>
      <w:r>
        <w:rPr>
          <w:sz w:val="21"/>
          <w:szCs w:val="21"/>
        </w:rPr>
        <w:t>) ou do SICAF e mantê-los atualizados junto aos órgãos responsáveis pela informação, devendo proceder, imediatamente, à correção ou à alteração dos registros tão logo identifique incorreção ou aqueles se tornem desatualizados.</w:t>
      </w:r>
    </w:p>
    <w:p w14:paraId="365ED72F">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As Microempresas (ME) e Empresas de Pequeno Porte (EPP) deverão encaminhar a documentação de habilitação, ainda que haja alguma restrição de regularidade fiscal e trabalhista, nos termos do </w:t>
      </w:r>
      <w:r>
        <w:rPr>
          <w:sz w:val="21"/>
          <w:szCs w:val="21"/>
        </w:rPr>
        <w:fldChar w:fldCharType="begin"/>
      </w:r>
      <w:r>
        <w:rPr>
          <w:rStyle w:val="62"/>
          <w:sz w:val="21"/>
          <w:szCs w:val="21"/>
        </w:rPr>
        <w:instrText xml:space="preserve"> HYPERLINK "https://www.planalto.gov.br/ccivil_03/leis/lcp/lcp123.htm" \l "art43"</w:instrText>
      </w:r>
      <w:r>
        <w:rPr>
          <w:rStyle w:val="62"/>
          <w:sz w:val="21"/>
          <w:szCs w:val="21"/>
        </w:rPr>
        <w:fldChar w:fldCharType="separate"/>
      </w:r>
      <w:r>
        <w:rPr>
          <w:rStyle w:val="62"/>
          <w:sz w:val="21"/>
          <w:szCs w:val="21"/>
        </w:rPr>
        <w:t>art. 43, § 1º, da Lei Complementar Federal nº 123, de 2006</w:t>
      </w:r>
      <w:r>
        <w:rPr>
          <w:rStyle w:val="62"/>
          <w:sz w:val="21"/>
          <w:szCs w:val="21"/>
        </w:rPr>
        <w:fldChar w:fldCharType="end"/>
      </w:r>
      <w:r>
        <w:rPr>
          <w:color w:val="000000"/>
          <w:sz w:val="21"/>
          <w:szCs w:val="21"/>
        </w:rPr>
        <w:t>.</w:t>
      </w:r>
    </w:p>
    <w:p w14:paraId="56655F59">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Na </w:t>
      </w:r>
      <w:r>
        <w:rPr>
          <w:color w:val="000000"/>
          <w:sz w:val="21"/>
          <w:szCs w:val="21"/>
        </w:rPr>
        <w:t>hipótese</w:t>
      </w:r>
      <w:r>
        <w:rPr>
          <w:sz w:val="21"/>
          <w:szCs w:val="21"/>
        </w:rPr>
        <w:t xml:space="preserve"> de o licitante vencedor ser empresa estrangeira que não funcione no País, para ﬁns de assinatura do contrato, os documentos exigidos para a habilitação serão traduzidos por tradutor juramentado no País e apostilados nos termos do disposto no </w:t>
      </w:r>
      <w:r>
        <w:rPr>
          <w:sz w:val="21"/>
          <w:szCs w:val="21"/>
        </w:rPr>
        <w:fldChar w:fldCharType="begin"/>
      </w:r>
      <w:r>
        <w:rPr>
          <w:sz w:val="21"/>
          <w:szCs w:val="21"/>
        </w:rPr>
        <w:instrText xml:space="preserve"> HYPERLINK "https://www.planalto.gov.br/ccivil_03/_ato2015-2018/2016/decreto/d8660.htm" \h </w:instrText>
      </w:r>
      <w:r>
        <w:rPr>
          <w:sz w:val="21"/>
          <w:szCs w:val="21"/>
        </w:rPr>
        <w:fldChar w:fldCharType="separate"/>
      </w:r>
      <w:r>
        <w:rPr>
          <w:rStyle w:val="62"/>
          <w:sz w:val="21"/>
          <w:szCs w:val="21"/>
        </w:rPr>
        <w:t>Decreto Federal nº 8.660, de 2016</w:t>
      </w:r>
      <w:r>
        <w:rPr>
          <w:rStyle w:val="62"/>
          <w:sz w:val="21"/>
          <w:szCs w:val="21"/>
        </w:rPr>
        <w:fldChar w:fldCharType="end"/>
      </w:r>
      <w:r>
        <w:rPr>
          <w:sz w:val="21"/>
          <w:szCs w:val="21"/>
        </w:rPr>
        <w:t>, ou de outro que venha a substituí-lo, ou consularizados pelos respectivos consulados ou embaixadas.</w:t>
      </w:r>
    </w:p>
    <w:p w14:paraId="4054841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Até a abertura da sessão pública, os licitantes poderão retirar ou substituir os documentos de habilitação anteriormente inseridos no sistema.</w:t>
      </w:r>
    </w:p>
    <w:p w14:paraId="5CA106A5">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Os documentos que compõem a proposta e a habilitação do licitante melhor classificado somente serão disponibilizados para avaliação do </w:t>
      </w:r>
      <w:r>
        <w:rPr>
          <w:sz w:val="21"/>
          <w:szCs w:val="21"/>
        </w:rPr>
        <w:t>Pregoeiro</w:t>
      </w:r>
      <w:r>
        <w:rPr>
          <w:color w:val="000000"/>
          <w:sz w:val="21"/>
          <w:szCs w:val="21"/>
        </w:rPr>
        <w:t xml:space="preserve"> e para acesso público após o encerramento da fase de lances.</w:t>
      </w:r>
    </w:p>
    <w:p w14:paraId="3DFE128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Como condição prévia ao exame da documentação de habilitação do licitante detentor da proposta classificada em primeiro lugar, o </w:t>
      </w:r>
      <w:r>
        <w:rPr>
          <w:sz w:val="21"/>
          <w:szCs w:val="21"/>
        </w:rPr>
        <w:t>Pregoeiro</w:t>
      </w:r>
      <w:r>
        <w:rPr>
          <w:color w:val="000000"/>
          <w:sz w:val="21"/>
          <w:szCs w:val="21"/>
        </w:rPr>
        <w:t xml:space="preserve"> verificará o eventual descumprimento das condições de participação, especialmente quanto à existência de sanção que impeça a participação no certame ou a futura contratação, mediante a consulta aos seguintes cadastros:</w:t>
      </w:r>
    </w:p>
    <w:p w14:paraId="25301EB1">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Cadastro Nacional de Empresas Punidas – CNEP, mantido pela Controladoria-Geral da União (CGU);</w:t>
      </w:r>
    </w:p>
    <w:p w14:paraId="0FEEB1F5">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Cadastro Nacional de Empresas Inidôneas e Suspensas – CEIS, mantido pela Controladoria-Geral da União (CGU);</w:t>
      </w:r>
    </w:p>
    <w:p w14:paraId="45DBF8AE">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Cadastro Nacional de Condenações Cíveis por Atos de Improbidade Administrativa, mantido pelo Conselho Nacional de Justiça (CNJ);</w:t>
      </w:r>
    </w:p>
    <w:p w14:paraId="29CDA474">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Sistema de Inabilitados e Inidôneos, mantida pelo Tribunal de Contas da União;</w:t>
      </w:r>
    </w:p>
    <w:p w14:paraId="3D31ACB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 consulta aos cadastros será realizada em nome da empresa licitante e também de seu sócio majoritário, por força do </w:t>
      </w:r>
      <w:r>
        <w:rPr>
          <w:sz w:val="21"/>
          <w:szCs w:val="21"/>
        </w:rPr>
        <w:fldChar w:fldCharType="begin"/>
      </w:r>
      <w:r>
        <w:rPr>
          <w:rStyle w:val="62"/>
          <w:sz w:val="21"/>
          <w:szCs w:val="21"/>
        </w:rPr>
        <w:instrText xml:space="preserve"> HYPERLINK "https://www.planalto.gov.br/ccivil_03/leis/l8429.htm" \l "art12"</w:instrText>
      </w:r>
      <w:r>
        <w:rPr>
          <w:rStyle w:val="62"/>
          <w:sz w:val="21"/>
          <w:szCs w:val="21"/>
        </w:rPr>
        <w:fldChar w:fldCharType="separate"/>
      </w:r>
      <w:r>
        <w:rPr>
          <w:rStyle w:val="62"/>
          <w:sz w:val="21"/>
          <w:szCs w:val="21"/>
        </w:rPr>
        <w:t>art. 12 da Lei Federal nº 8.429, de 1992</w:t>
      </w:r>
      <w:r>
        <w:rPr>
          <w:rStyle w:val="62"/>
          <w:sz w:val="21"/>
          <w:szCs w:val="21"/>
        </w:rPr>
        <w:fldChar w:fldCharType="end"/>
      </w:r>
      <w:r>
        <w:rPr>
          <w:color w:val="000000"/>
          <w:sz w:val="21"/>
          <w:szCs w:val="21"/>
        </w:rPr>
        <w:t>, que prevê, dentre as sanções impostas ao responsável pela prática de ato de improbidade administrativa, a proibição de contratar com o Poder Público, inclusive por intermédio de pessoa jurídica da qual seja sócio majoritário.</w:t>
      </w:r>
    </w:p>
    <w:p w14:paraId="691F293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Caso conste na Consulta de Situação do Fornecedor a existência de Ocorrências Impeditivas Indiretas, o </w:t>
      </w:r>
      <w:r>
        <w:rPr>
          <w:sz w:val="21"/>
          <w:szCs w:val="21"/>
        </w:rPr>
        <w:t>Pregoeiro</w:t>
      </w:r>
      <w:r>
        <w:rPr>
          <w:color w:val="000000"/>
          <w:sz w:val="21"/>
          <w:szCs w:val="21"/>
        </w:rPr>
        <w:t xml:space="preserve"> diligenciará para verificar se houve fraude por parte das empresas apontadas no Relatório de Ocorrências Impeditivas Indiretas, seguindo os seguintes procedimentos:</w:t>
      </w:r>
    </w:p>
    <w:p w14:paraId="29B477C1">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A tentativa de burla será verificada por meio dos vínculos societários, linhas de fornecimento similares, dentre outros;</w:t>
      </w:r>
    </w:p>
    <w:p w14:paraId="186517E0">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O licitante será convocado para manifestação previamente à sua inabilitação;</w:t>
      </w:r>
    </w:p>
    <w:p w14:paraId="7D1860E1">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 xml:space="preserve">Constatada a existência de sanção, o </w:t>
      </w:r>
      <w:r>
        <w:rPr>
          <w:sz w:val="21"/>
          <w:szCs w:val="21"/>
        </w:rPr>
        <w:t>Pregoeiro</w:t>
      </w:r>
      <w:r>
        <w:rPr>
          <w:color w:val="000000"/>
          <w:sz w:val="21"/>
          <w:szCs w:val="21"/>
        </w:rPr>
        <w:t xml:space="preserve"> reputará o licitante inabilitado, por falta de condição de participação;</w:t>
      </w:r>
    </w:p>
    <w:p w14:paraId="1E0750A6">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 xml:space="preserve">No caso de inabilitação, haverá nova verificação, pelo sistema, da eventual ocorrência do empate ficto, previsto nos </w:t>
      </w:r>
      <w:r>
        <w:rPr>
          <w:sz w:val="21"/>
          <w:szCs w:val="21"/>
        </w:rPr>
        <w:fldChar w:fldCharType="begin"/>
      </w:r>
      <w:r>
        <w:rPr>
          <w:rStyle w:val="62"/>
          <w:sz w:val="21"/>
          <w:szCs w:val="21"/>
        </w:rPr>
        <w:instrText xml:space="preserve"> HYPERLINK "https://www.planalto.gov.br/ccivil_03/leis/lcp/lcp123.htm" \l "art44"</w:instrText>
      </w:r>
      <w:r>
        <w:rPr>
          <w:rStyle w:val="62"/>
          <w:sz w:val="21"/>
          <w:szCs w:val="21"/>
        </w:rPr>
        <w:fldChar w:fldCharType="separate"/>
      </w:r>
      <w:r>
        <w:rPr>
          <w:rStyle w:val="62"/>
          <w:sz w:val="21"/>
          <w:szCs w:val="21"/>
        </w:rPr>
        <w:t>arts. 44 e 45 da Lei Complementar Federal nº 123, de 2006</w:t>
      </w:r>
      <w:r>
        <w:rPr>
          <w:rStyle w:val="62"/>
          <w:sz w:val="21"/>
          <w:szCs w:val="21"/>
        </w:rPr>
        <w:fldChar w:fldCharType="end"/>
      </w:r>
      <w:r>
        <w:rPr>
          <w:color w:val="000000"/>
          <w:sz w:val="21"/>
          <w:szCs w:val="21"/>
        </w:rPr>
        <w:t>, seguindo-se a disciplina antes estabelecida para aceitação da proposta subsequente.</w:t>
      </w:r>
    </w:p>
    <w:p w14:paraId="237CAE5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Após a entrega dos documentos para habilitação, não será permitida a substituição ou a apresentação de novos documentos, salvo em sede de diligência, para (</w:t>
      </w:r>
      <w:r>
        <w:rPr>
          <w:sz w:val="21"/>
          <w:szCs w:val="21"/>
        </w:rPr>
        <w:fldChar w:fldCharType="begin"/>
      </w:r>
      <w:r>
        <w:rPr>
          <w:rStyle w:val="62"/>
          <w:sz w:val="21"/>
          <w:szCs w:val="21"/>
        </w:rPr>
        <w:instrText xml:space="preserve"> HYPERLINK "http://www.planalto.gov.br/ccivil_03/_ato2019-2022/2021/lei/L14133.htm" \l "art64"</w:instrText>
      </w:r>
      <w:r>
        <w:rPr>
          <w:rStyle w:val="62"/>
          <w:sz w:val="21"/>
          <w:szCs w:val="21"/>
        </w:rPr>
        <w:fldChar w:fldCharType="separate"/>
      </w:r>
      <w:r>
        <w:rPr>
          <w:rStyle w:val="62"/>
          <w:sz w:val="21"/>
          <w:szCs w:val="21"/>
        </w:rPr>
        <w:t>art. 64 da Lei Federal nº 14.133, de 2021</w:t>
      </w:r>
      <w:r>
        <w:rPr>
          <w:rStyle w:val="62"/>
          <w:sz w:val="21"/>
          <w:szCs w:val="21"/>
        </w:rPr>
        <w:fldChar w:fldCharType="end"/>
      </w:r>
      <w:r>
        <w:rPr>
          <w:sz w:val="21"/>
          <w:szCs w:val="21"/>
        </w:rPr>
        <w:t>):</w:t>
      </w:r>
    </w:p>
    <w:p w14:paraId="710F26AE">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complementação de informações acerca dos documentos já apresentados pelos licitantes e desde que necessária para apurar fatos existentes à época da abertura do certame;</w:t>
      </w:r>
    </w:p>
    <w:p w14:paraId="7FDEAD7E">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atualização de documentos cuja validade tenha expirado após a data de recebimento das propostas.</w:t>
      </w:r>
    </w:p>
    <w:p w14:paraId="2952076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14:paraId="5D6CC8E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Somente poderá haver a prorrogação no prazo do item anterior, caso o licitante solicite sua prorrogação dentro do tempo limite concedido.</w:t>
      </w:r>
    </w:p>
    <w:p w14:paraId="361BB31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Somente haverá a necessidade de comprovação do preenchimento de requisitos mediante apresentação dos documentos originais não-digitais quando houver dúvida em relação à integridade do documento digital </w:t>
      </w:r>
      <w:r>
        <w:rPr>
          <w:sz w:val="21"/>
          <w:szCs w:val="21"/>
        </w:rPr>
        <w:t>ou quando a lei expressamente o exigir</w:t>
      </w:r>
      <w:r>
        <w:rPr>
          <w:color w:val="000000"/>
          <w:sz w:val="21"/>
          <w:szCs w:val="21"/>
        </w:rPr>
        <w:t>.</w:t>
      </w:r>
    </w:p>
    <w:p w14:paraId="2A85D99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Não serão aceitos documentos de habilitação com indicação de CNPJ/CPF diferentes, salvo aqueles legalmente permitidos.</w:t>
      </w:r>
    </w:p>
    <w:p w14:paraId="3CCC91C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6650AB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p>
    <w:p w14:paraId="1075077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bookmarkStart w:id="32" w:name="art64§1"/>
      <w:bookmarkEnd w:id="32"/>
      <w:bookmarkStart w:id="33" w:name="art64§2"/>
      <w:bookmarkEnd w:id="33"/>
      <w:r>
        <w:rPr>
          <w:color w:val="000000"/>
          <w:sz w:val="21"/>
          <w:szCs w:val="21"/>
        </w:rPr>
        <w:t>Para os documentos que têm prazo de validade e este não estiver expresso no documento, será considerada a validade de 90 (noventa) dias, a partir de sua emissão, se outro prazo não estiver fixado em lei.</w:t>
      </w:r>
    </w:p>
    <w:p w14:paraId="584911E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Havendo necessidade de analisar minuciosamente os documentos exigidos, o </w:t>
      </w:r>
      <w:r>
        <w:rPr>
          <w:sz w:val="21"/>
          <w:szCs w:val="21"/>
        </w:rPr>
        <w:t>Pregoeiro</w:t>
      </w:r>
      <w:r>
        <w:rPr>
          <w:color w:val="000000"/>
          <w:sz w:val="21"/>
          <w:szCs w:val="21"/>
        </w:rPr>
        <w:t xml:space="preserve"> suspenderá a sessão, informando no “</w:t>
      </w:r>
      <w:r>
        <w:rPr>
          <w:i/>
          <w:iCs/>
          <w:color w:val="000000"/>
          <w:sz w:val="21"/>
          <w:szCs w:val="21"/>
        </w:rPr>
        <w:t>chat</w:t>
      </w:r>
      <w:r>
        <w:rPr>
          <w:color w:val="000000"/>
          <w:sz w:val="21"/>
          <w:szCs w:val="21"/>
        </w:rPr>
        <w:t>” a nova data e horário para a continuidade.</w:t>
      </w:r>
    </w:p>
    <w:p w14:paraId="4BE0BE47">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themeColor="text1"/>
          <w:sz w:val="21"/>
          <w:szCs w:val="21"/>
          <w14:textFill>
            <w14:solidFill>
              <w14:schemeClr w14:val="tx1"/>
            </w14:solidFill>
          </w14:textFill>
        </w:rPr>
        <w:t xml:space="preserve">Atendidas </w:t>
      </w:r>
      <w:r>
        <w:rPr>
          <w:color w:val="000000"/>
          <w:sz w:val="21"/>
          <w:szCs w:val="21"/>
        </w:rPr>
        <w:t>todas</w:t>
      </w:r>
      <w:r>
        <w:rPr>
          <w:color w:val="000000" w:themeColor="text1"/>
          <w:sz w:val="21"/>
          <w:szCs w:val="21"/>
          <w14:textFill>
            <w14:solidFill>
              <w14:schemeClr w14:val="tx1"/>
            </w14:solidFill>
          </w14:textFill>
        </w:rPr>
        <w:t xml:space="preserve"> as disposições deste Edital, a licitante classificada em primeiro lugar será declarada vencedora da licitação.</w:t>
      </w:r>
    </w:p>
    <w:p w14:paraId="2323CD7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themeColor="text1"/>
          <w:sz w:val="21"/>
          <w:szCs w:val="21"/>
          <w14:textFill>
            <w14:solidFill>
              <w14:schemeClr w14:val="tx1"/>
            </w14:solidFill>
          </w14:textFill>
        </w:rPr>
        <w:t>Serão disponibilizados para acesso público os documentos que compõem a proposta dos licitantes convocados para apresentação de propostas, após a fase de envio de lances.</w:t>
      </w:r>
    </w:p>
    <w:p w14:paraId="57755427">
      <w:pPr>
        <w:pStyle w:val="2"/>
        <w:spacing w:before="360" w:after="0"/>
        <w:rPr>
          <w:sz w:val="21"/>
          <w:szCs w:val="21"/>
        </w:rPr>
      </w:pPr>
      <w:bookmarkStart w:id="34" w:name="_Toc149517449"/>
      <w:r>
        <w:rPr>
          <w:rStyle w:val="53"/>
          <w:sz w:val="21"/>
          <w:szCs w:val="21"/>
        </w:rPr>
        <w:t>HABILITAÇÃO JURÍDICA</w:t>
      </w:r>
      <w:bookmarkEnd w:id="34"/>
    </w:p>
    <w:p w14:paraId="05DF843D">
      <w:pPr>
        <w:pStyle w:val="50"/>
        <w:numPr>
          <w:ilvl w:val="1"/>
          <w:numId w:val="1"/>
        </w:numPr>
        <w:tabs>
          <w:tab w:val="left" w:pos="1134"/>
        </w:tabs>
        <w:spacing w:before="120" w:beforeAutospacing="0" w:after="120" w:afterAutospacing="0"/>
        <w:ind w:left="-87" w:leftChars="0" w:firstLine="567" w:firstLineChars="0"/>
        <w:jc w:val="both"/>
        <w:textAlignment w:val="baseline"/>
        <w:rPr>
          <w:sz w:val="21"/>
          <w:szCs w:val="21"/>
        </w:rPr>
      </w:pPr>
      <w:r>
        <w:rPr>
          <w:color w:val="000000"/>
          <w:sz w:val="21"/>
          <w:szCs w:val="21"/>
        </w:rPr>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w:t>
      </w:r>
      <w:r>
        <w:rPr>
          <w:sz w:val="21"/>
          <w:szCs w:val="21"/>
        </w:rPr>
        <w:fldChar w:fldCharType="begin"/>
      </w:r>
      <w:r>
        <w:rPr>
          <w:rStyle w:val="62"/>
          <w:sz w:val="21"/>
          <w:szCs w:val="21"/>
        </w:rPr>
        <w:instrText xml:space="preserve"> HYPERLINK "https://www.planalto.gov.br/ccivil_03/_ato2019-2022/2021/lei/l14133.htm" \l "art66"</w:instrText>
      </w:r>
      <w:r>
        <w:rPr>
          <w:rStyle w:val="62"/>
          <w:sz w:val="21"/>
          <w:szCs w:val="21"/>
        </w:rPr>
        <w:fldChar w:fldCharType="separate"/>
      </w:r>
      <w:r>
        <w:rPr>
          <w:rStyle w:val="62"/>
          <w:sz w:val="21"/>
          <w:szCs w:val="21"/>
        </w:rPr>
        <w:t>art. 66 da Lei Federal nº 14.133, de 2021</w:t>
      </w:r>
      <w:r>
        <w:rPr>
          <w:rStyle w:val="62"/>
          <w:sz w:val="21"/>
          <w:szCs w:val="21"/>
        </w:rPr>
        <w:fldChar w:fldCharType="end"/>
      </w:r>
      <w:r>
        <w:rPr>
          <w:color w:val="000000"/>
          <w:sz w:val="21"/>
          <w:szCs w:val="21"/>
        </w:rPr>
        <w:t>), nos seguintes termos:</w:t>
      </w:r>
    </w:p>
    <w:p w14:paraId="407192BB">
      <w:pPr>
        <w:pStyle w:val="50"/>
        <w:numPr>
          <w:ilvl w:val="2"/>
          <w:numId w:val="9"/>
        </w:numPr>
        <w:tabs>
          <w:tab w:val="left" w:pos="1134"/>
        </w:tabs>
        <w:spacing w:before="120" w:beforeAutospacing="0" w:after="0" w:afterAutospacing="0"/>
        <w:jc w:val="both"/>
        <w:textAlignment w:val="baseline"/>
        <w:rPr>
          <w:rFonts w:ascii="Times New Roman" w:hAnsi="Times New Roman"/>
          <w:sz w:val="21"/>
          <w:szCs w:val="21"/>
        </w:rPr>
      </w:pPr>
      <w:r>
        <w:rPr>
          <w:color w:val="000000"/>
          <w:sz w:val="21"/>
          <w:szCs w:val="21"/>
        </w:rPr>
        <w:t>No caso de empresário individual, inscrição no Registro Público de Empresas Mercantis, a cargo da Junta Comercial da respectiva sede;</w:t>
      </w:r>
    </w:p>
    <w:p w14:paraId="43DC185F">
      <w:pPr>
        <w:pStyle w:val="50"/>
        <w:numPr>
          <w:ilvl w:val="2"/>
          <w:numId w:val="9"/>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DBCB2B8">
      <w:pPr>
        <w:pStyle w:val="50"/>
        <w:numPr>
          <w:ilvl w:val="2"/>
          <w:numId w:val="9"/>
        </w:numPr>
        <w:tabs>
          <w:tab w:val="left" w:pos="1134"/>
        </w:tabs>
        <w:spacing w:before="0" w:beforeAutospacing="0" w:after="0" w:afterAutospacing="0"/>
        <w:jc w:val="both"/>
        <w:textAlignment w:val="baseline"/>
        <w:rPr>
          <w:rFonts w:ascii="Times New Roman" w:hAnsi="Times New Roman"/>
          <w:sz w:val="21"/>
          <w:szCs w:val="21"/>
        </w:rPr>
      </w:pPr>
      <w:r>
        <w:rPr>
          <w:sz w:val="21"/>
          <w:szCs w:val="21"/>
        </w:rPr>
        <w:t>No caso de sociedades por ações, registro na Comissão de Valores Mobiliários - CVM, acompanhado de documentos que comprovem a eleição de seus administradores;</w:t>
      </w:r>
    </w:p>
    <w:p w14:paraId="549E8B7D">
      <w:pPr>
        <w:pStyle w:val="50"/>
        <w:numPr>
          <w:ilvl w:val="2"/>
          <w:numId w:val="9"/>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No caso de ser o participante sucursal, filial ou agência, inscrição no Registro Público de Empresas Mercantis onde opera, com averbação no Registro onde tem sede a matriz;</w:t>
      </w:r>
    </w:p>
    <w:p w14:paraId="22A20C87">
      <w:pPr>
        <w:pStyle w:val="50"/>
        <w:numPr>
          <w:ilvl w:val="2"/>
          <w:numId w:val="9"/>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No caso de sociedade simples, inscrição do ato constitutivo no Registro Civil das Pessoas Jurídicas do local de sua sede, acompanhada de prova da indicação dos seus administradores;</w:t>
      </w:r>
    </w:p>
    <w:p w14:paraId="6AC7EA6F">
      <w:pPr>
        <w:pStyle w:val="50"/>
        <w:numPr>
          <w:ilvl w:val="2"/>
          <w:numId w:val="9"/>
        </w:numPr>
        <w:tabs>
          <w:tab w:val="left" w:pos="1134"/>
        </w:tabs>
        <w:spacing w:before="0" w:beforeAutospacing="0" w:after="120" w:afterAutospacing="0"/>
        <w:jc w:val="both"/>
        <w:textAlignment w:val="baseline"/>
        <w:rPr>
          <w:rFonts w:ascii="Times New Roman" w:hAnsi="Times New Roman"/>
          <w:sz w:val="21"/>
          <w:szCs w:val="21"/>
        </w:rPr>
      </w:pPr>
      <w:r>
        <w:rPr>
          <w:color w:val="000000"/>
          <w:sz w:val="21"/>
          <w:szCs w:val="21"/>
        </w:rPr>
        <w:t>No caso de sociedade empresária estrangeira em funcionamento no País, decreto de autorização.</w:t>
      </w:r>
    </w:p>
    <w:p w14:paraId="250332A3">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Os documentos acima deverão estar acompanhados de todas as alterações ou da</w:t>
      </w:r>
      <w:r>
        <w:rPr>
          <w:color w:val="000000"/>
          <w:sz w:val="21"/>
          <w:szCs w:val="21"/>
        </w:rPr>
        <w:br w:type="textWrapping"/>
      </w:r>
      <w:r>
        <w:rPr>
          <w:color w:val="000000"/>
          <w:sz w:val="21"/>
          <w:szCs w:val="21"/>
        </w:rPr>
        <w:t>consolidação respectiva.</w:t>
      </w:r>
    </w:p>
    <w:p w14:paraId="36B781BD">
      <w:pPr>
        <w:pStyle w:val="50"/>
        <w:numPr>
          <w:ilvl w:val="0"/>
          <w:numId w:val="0"/>
        </w:numPr>
        <w:tabs>
          <w:tab w:val="left" w:pos="1134"/>
        </w:tabs>
        <w:spacing w:before="120" w:beforeAutospacing="0" w:after="0" w:afterAutospacing="0"/>
        <w:ind w:left="480" w:leftChars="0"/>
        <w:jc w:val="both"/>
        <w:textAlignment w:val="baseline"/>
        <w:rPr>
          <w:rFonts w:ascii="Times New Roman" w:hAnsi="Times New Roman"/>
          <w:sz w:val="21"/>
          <w:szCs w:val="21"/>
        </w:rPr>
      </w:pPr>
    </w:p>
    <w:p w14:paraId="31B325D0">
      <w:pPr>
        <w:pStyle w:val="2"/>
        <w:spacing w:before="360" w:after="0"/>
        <w:rPr>
          <w:sz w:val="21"/>
          <w:szCs w:val="21"/>
        </w:rPr>
      </w:pPr>
      <w:bookmarkStart w:id="35" w:name="_Toc149517450"/>
      <w:r>
        <w:rPr>
          <w:rStyle w:val="53"/>
          <w:sz w:val="21"/>
          <w:szCs w:val="21"/>
        </w:rPr>
        <w:t>QUALIFICAÇÃO TÉCNICO-PROFISSIONAL E TÉCNICO-OPERACIONAL</w:t>
      </w:r>
      <w:bookmarkEnd w:id="35"/>
    </w:p>
    <w:p w14:paraId="10310FCA">
      <w:pPr>
        <w:pStyle w:val="50"/>
        <w:numPr>
          <w:ilvl w:val="1"/>
          <w:numId w:val="1"/>
        </w:numPr>
        <w:tabs>
          <w:tab w:val="left" w:pos="1134"/>
        </w:tabs>
        <w:spacing w:before="120" w:beforeAutospacing="0" w:after="120" w:afterAutospacing="0"/>
        <w:ind w:left="-87" w:leftChars="0" w:firstLine="567" w:firstLineChars="0"/>
        <w:jc w:val="both"/>
        <w:textAlignment w:val="baseline"/>
        <w:rPr>
          <w:rFonts w:ascii="Times New Roman" w:hAnsi="Times New Roman"/>
          <w:sz w:val="21"/>
          <w:szCs w:val="21"/>
        </w:rPr>
      </w:pPr>
      <w:r>
        <w:rPr>
          <w:color w:val="000000"/>
          <w:sz w:val="21"/>
          <w:szCs w:val="21"/>
        </w:rPr>
        <w:t>A documentação relativa à qualificação técnica consistirá em apresentar as seguintes comprovações:</w:t>
      </w:r>
    </w:p>
    <w:p w14:paraId="47B4B939">
      <w:pPr>
        <w:pStyle w:val="181"/>
        <w:numPr>
          <w:ilvl w:val="0"/>
          <w:numId w:val="0"/>
        </w:numPr>
        <w:ind w:left="360" w:firstLine="0"/>
        <w:jc w:val="both"/>
        <w:rPr>
          <w:rFonts w:ascii="Times New Roman" w:hAnsi="Times New Roman"/>
          <w:sz w:val="21"/>
          <w:szCs w:val="21"/>
        </w:rPr>
      </w:pPr>
      <w:r>
        <w:rPr>
          <w:rFonts w:ascii="Times New Roman" w:hAnsi="Times New Roman" w:cs="Times New Roman"/>
          <w:b/>
          <w:bCs/>
          <w:sz w:val="21"/>
          <w:szCs w:val="21"/>
        </w:rPr>
        <w:t xml:space="preserve">a) </w:t>
      </w:r>
      <w:r>
        <w:rPr>
          <w:rFonts w:ascii="Times New Roman" w:hAnsi="Times New Roman" w:cs="Times New Roman"/>
          <w:sz w:val="21"/>
          <w:szCs w:val="21"/>
        </w:rPr>
        <w:t>Um ou mais Atestado de Capacidade Técnica,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459E8065">
      <w:pPr>
        <w:pStyle w:val="181"/>
        <w:numPr>
          <w:ilvl w:val="0"/>
          <w:numId w:val="0"/>
        </w:numPr>
        <w:ind w:left="360" w:firstLine="0"/>
        <w:jc w:val="both"/>
        <w:rPr>
          <w:rFonts w:ascii="Times New Roman" w:hAnsi="Times New Roman" w:eastAsia="Calibri" w:cs="Times New Roman"/>
          <w:b/>
          <w:bCs/>
          <w:color w:val="000000"/>
          <w:sz w:val="21"/>
          <w:szCs w:val="21"/>
        </w:rPr>
      </w:pPr>
    </w:p>
    <w:p w14:paraId="3D621EF6">
      <w:pPr>
        <w:pStyle w:val="181"/>
        <w:widowControl/>
        <w:numPr>
          <w:ilvl w:val="0"/>
          <w:numId w:val="0"/>
        </w:numPr>
        <w:suppressAutoHyphens/>
        <w:bidi w:val="0"/>
        <w:spacing w:before="0" w:after="0" w:line="100" w:lineRule="atLeast"/>
        <w:ind w:left="1134" w:right="0" w:firstLine="0"/>
        <w:jc w:val="both"/>
        <w:rPr>
          <w:rFonts w:ascii="Times New Roman" w:hAnsi="Times New Roman"/>
          <w:sz w:val="21"/>
          <w:szCs w:val="21"/>
        </w:rPr>
      </w:pPr>
      <w:r>
        <w:rPr>
          <w:rFonts w:ascii="Times New Roman" w:hAnsi="Times New Roman" w:cs="Times New Roman" w:eastAsiaTheme="minorHAnsi"/>
          <w:b/>
          <w:bCs/>
          <w:color w:val="000000"/>
          <w:sz w:val="21"/>
          <w:szCs w:val="21"/>
          <w:shd w:val="clear" w:fill="auto"/>
        </w:rPr>
        <w:t xml:space="preserve">a.1) </w:t>
      </w:r>
      <w:r>
        <w:rPr>
          <w:rFonts w:ascii="Times New Roman" w:hAnsi="Times New Roman" w:cs="Times New Roman" w:eastAsiaTheme="minorHAnsi"/>
          <w:color w:val="000000"/>
          <w:sz w:val="21"/>
          <w:szCs w:val="21"/>
          <w:shd w:val="clear" w:fill="auto"/>
        </w:rPr>
        <w:t>A Câmara de Primavera do Leste para comprovar a veracidade dos atestados, poderá requisitar cópias dos respectivos contratos e aditivos e/ou outros documentos comprobatórios do conteúdo declarado.</w:t>
      </w:r>
    </w:p>
    <w:p w14:paraId="616F0C37">
      <w:pPr>
        <w:pStyle w:val="181"/>
        <w:numPr>
          <w:ilvl w:val="0"/>
          <w:numId w:val="0"/>
        </w:numPr>
        <w:ind w:left="360" w:firstLine="0"/>
        <w:jc w:val="both"/>
        <w:rPr>
          <w:rFonts w:ascii="Times New Roman" w:hAnsi="Times New Roman"/>
          <w:sz w:val="21"/>
          <w:szCs w:val="21"/>
        </w:rPr>
      </w:pPr>
      <w:r>
        <w:rPr>
          <w:rFonts w:ascii="Times New Roman" w:hAnsi="Times New Roman" w:cs="Times New Roman" w:eastAsiaTheme="minorHAnsi"/>
          <w:color w:val="000000"/>
          <w:sz w:val="21"/>
          <w:szCs w:val="21"/>
          <w:shd w:val="clear" w:fill="auto"/>
        </w:rPr>
        <w:t xml:space="preserve"> </w:t>
      </w:r>
    </w:p>
    <w:p w14:paraId="47EF8F37">
      <w:pPr>
        <w:pStyle w:val="181"/>
        <w:numPr>
          <w:ilvl w:val="0"/>
          <w:numId w:val="0"/>
        </w:numPr>
        <w:ind w:left="360" w:firstLine="0"/>
        <w:jc w:val="both"/>
        <w:rPr>
          <w:rFonts w:ascii="Times New Roman" w:hAnsi="Times New Roman"/>
          <w:sz w:val="21"/>
          <w:szCs w:val="21"/>
        </w:rPr>
      </w:pPr>
      <w:r>
        <w:rPr>
          <w:rFonts w:ascii="Times New Roman" w:hAnsi="Times New Roman" w:cs="Times New Roman" w:eastAsiaTheme="minorHAnsi"/>
          <w:b/>
          <w:bCs/>
          <w:color w:val="000000"/>
          <w:sz w:val="21"/>
          <w:szCs w:val="21"/>
          <w:shd w:val="clear" w:fill="auto"/>
        </w:rPr>
        <w:t>b)</w:t>
      </w:r>
      <w:r>
        <w:rPr>
          <w:rFonts w:ascii="Times New Roman" w:hAnsi="Times New Roman" w:cs="Times New Roman" w:eastAsiaTheme="minorHAnsi"/>
          <w:color w:val="000000"/>
          <w:sz w:val="21"/>
          <w:szCs w:val="21"/>
          <w:shd w:val="clear" w:fill="auto"/>
        </w:rPr>
        <w:t xml:space="preserve"> </w:t>
      </w:r>
      <w:r>
        <w:rPr>
          <w:rFonts w:ascii="Times New Roman" w:hAnsi="Times New Roman" w:cs="Times New Roman"/>
          <w:color w:val="000000"/>
          <w:sz w:val="21"/>
          <w:szCs w:val="21"/>
          <w:shd w:val="clear" w:fill="auto"/>
          <w:lang w:val="pt-BR"/>
        </w:rPr>
        <w:t>D</w:t>
      </w:r>
      <w:r>
        <w:rPr>
          <w:rFonts w:ascii="Times New Roman" w:hAnsi="Times New Roman" w:cs="Times New Roman" w:eastAsiaTheme="minorHAnsi"/>
          <w:color w:val="000000"/>
          <w:sz w:val="21"/>
          <w:szCs w:val="21"/>
          <w:shd w:val="clear" w:fill="auto"/>
        </w:rPr>
        <w:t>emais itens relativ</w:t>
      </w:r>
      <w:r>
        <w:rPr>
          <w:rFonts w:ascii="Times New Roman" w:hAnsi="Times New Roman" w:cs="Times New Roman"/>
          <w:color w:val="000000"/>
          <w:sz w:val="21"/>
          <w:szCs w:val="21"/>
          <w:shd w:val="clear" w:fill="auto"/>
          <w:lang w:val="pt-BR"/>
        </w:rPr>
        <w:t>os</w:t>
      </w:r>
      <w:r>
        <w:rPr>
          <w:rFonts w:ascii="Times New Roman" w:hAnsi="Times New Roman" w:cs="Times New Roman" w:eastAsiaTheme="minorHAnsi"/>
          <w:color w:val="000000"/>
          <w:sz w:val="21"/>
          <w:szCs w:val="21"/>
          <w:shd w:val="clear" w:fill="auto"/>
        </w:rPr>
        <w:t xml:space="preserve"> à qualificação técnica</w:t>
      </w:r>
      <w:r>
        <w:rPr>
          <w:rFonts w:ascii="Times New Roman" w:hAnsi="Times New Roman" w:cs="Times New Roman"/>
          <w:color w:val="000000"/>
          <w:sz w:val="21"/>
          <w:szCs w:val="21"/>
          <w:shd w:val="clear" w:fill="auto"/>
          <w:lang w:val="pt-BR"/>
        </w:rPr>
        <w:t xml:space="preserve"> </w:t>
      </w:r>
      <w:r>
        <w:rPr>
          <w:rFonts w:ascii="Times New Roman" w:hAnsi="Times New Roman" w:cs="Times New Roman" w:eastAsiaTheme="minorHAnsi"/>
          <w:color w:val="000000"/>
          <w:sz w:val="21"/>
          <w:szCs w:val="21"/>
          <w:shd w:val="clear" w:fill="auto"/>
        </w:rPr>
        <w:t xml:space="preserve">solicitados no Anexo I  - Termo de Referência. </w:t>
      </w:r>
    </w:p>
    <w:p w14:paraId="324BC04E">
      <w:pPr>
        <w:pStyle w:val="2"/>
        <w:spacing w:before="360" w:after="0"/>
        <w:rPr>
          <w:sz w:val="21"/>
          <w:szCs w:val="21"/>
        </w:rPr>
      </w:pPr>
      <w:bookmarkStart w:id="36" w:name="_Toc149517451"/>
      <w:r>
        <w:rPr>
          <w:rStyle w:val="53"/>
          <w:sz w:val="21"/>
          <w:szCs w:val="21"/>
        </w:rPr>
        <w:t>REGULARIDADE FISCAL, SOCIAL E TRABALHISTA</w:t>
      </w:r>
      <w:bookmarkEnd w:id="36"/>
    </w:p>
    <w:p w14:paraId="22E33807">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As habilitações fiscal, social e trabalhista serão aferidas mediante a verificação dos seguintes requisitos:</w:t>
      </w:r>
    </w:p>
    <w:p w14:paraId="6FF72CD5">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a inscrição no Cadastro Nacional da Pessoa Jurídica (CNPJ);</w:t>
      </w:r>
    </w:p>
    <w:p w14:paraId="3CC0C4BE">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a regularidade perante a Fazenda federal, estadual e municipal do domicílio ou sede do licitante, ou outra equivalente, na forma da lei;</w:t>
      </w:r>
    </w:p>
    <w:p w14:paraId="5A4EF7EC">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a regularidade relativa à Seguridade Social e ao FGTS, que demonstre cumprimento dos encargos sociais instituídos por lei;</w:t>
      </w:r>
    </w:p>
    <w:p w14:paraId="41F5B389">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a regularidade perante a Justiça do Trabalho;</w:t>
      </w:r>
    </w:p>
    <w:p w14:paraId="0C083E80">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 xml:space="preserve">o cumprimento do disposto no </w:t>
      </w:r>
      <w:r>
        <w:rPr>
          <w:sz w:val="21"/>
          <w:szCs w:val="21"/>
        </w:rPr>
        <w:fldChar w:fldCharType="begin"/>
      </w:r>
      <w:r>
        <w:rPr>
          <w:rStyle w:val="62"/>
          <w:sz w:val="21"/>
          <w:szCs w:val="21"/>
        </w:rPr>
        <w:instrText xml:space="preserve"> HYPERLINK "https://www.planalto.gov.br/ccivil_03/constituicao/constituicao.htm" \l "art7"</w:instrText>
      </w:r>
      <w:r>
        <w:rPr>
          <w:rStyle w:val="62"/>
          <w:sz w:val="21"/>
          <w:szCs w:val="21"/>
        </w:rPr>
        <w:fldChar w:fldCharType="separate"/>
      </w:r>
      <w:r>
        <w:rPr>
          <w:rStyle w:val="62"/>
          <w:sz w:val="21"/>
          <w:szCs w:val="21"/>
        </w:rPr>
        <w:t>art. 7º, inc. XXXIII, da Constituição Federal de 1988</w:t>
      </w:r>
      <w:r>
        <w:rPr>
          <w:rStyle w:val="62"/>
          <w:sz w:val="21"/>
          <w:szCs w:val="21"/>
        </w:rPr>
        <w:fldChar w:fldCharType="end"/>
      </w:r>
      <w:r>
        <w:rPr>
          <w:color w:val="000000"/>
          <w:sz w:val="21"/>
          <w:szCs w:val="21"/>
        </w:rPr>
        <w:t>.</w:t>
      </w:r>
    </w:p>
    <w:p w14:paraId="6D156C2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Serão aceitas certidões negativas e certidões positivas com efeito de negativas.</w:t>
      </w:r>
    </w:p>
    <w:p w14:paraId="42B04F7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Caso a proposta mais vantajosa seja ofertada por licitante qualificada como microempresa (ME) ou empresa de pequeno porte (EPP),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2237662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outra microempresa (ME) ou empresa de pequeno porte (EPP) com alguma restrição na documentação fiscal, social e trabalhista, será concedido o mesmo prazo para regularização.</w:t>
      </w:r>
    </w:p>
    <w:p w14:paraId="33B5F6DF">
      <w:pPr>
        <w:pStyle w:val="2"/>
        <w:spacing w:before="360" w:after="0"/>
        <w:rPr>
          <w:sz w:val="21"/>
          <w:szCs w:val="21"/>
        </w:rPr>
      </w:pPr>
      <w:bookmarkStart w:id="37" w:name="_Toc149517452"/>
      <w:r>
        <w:rPr>
          <w:rStyle w:val="53"/>
          <w:sz w:val="21"/>
          <w:szCs w:val="21"/>
        </w:rPr>
        <w:t>HABILITAÇÃO ECONÔMICO-FINANCEIRA</w:t>
      </w:r>
      <w:bookmarkEnd w:id="37"/>
    </w:p>
    <w:p w14:paraId="2AF1382C">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Em atenção à parte final do </w:t>
      </w:r>
      <w:r>
        <w:rPr>
          <w:sz w:val="21"/>
          <w:szCs w:val="21"/>
        </w:rPr>
        <w:fldChar w:fldCharType="begin"/>
      </w:r>
      <w:r>
        <w:rPr>
          <w:rStyle w:val="62"/>
          <w:sz w:val="21"/>
          <w:szCs w:val="21"/>
        </w:rPr>
        <w:instrText xml:space="preserve"> HYPERLINK "http://www.planalto.gov.br/ccivil_03/constituicao/constituicao.htm" \l "art37"</w:instrText>
      </w:r>
      <w:r>
        <w:rPr>
          <w:rStyle w:val="62"/>
          <w:sz w:val="21"/>
          <w:szCs w:val="21"/>
        </w:rPr>
        <w:fldChar w:fldCharType="separate"/>
      </w:r>
      <w:r>
        <w:rPr>
          <w:rStyle w:val="62"/>
          <w:sz w:val="21"/>
          <w:szCs w:val="21"/>
        </w:rPr>
        <w:t>art. 37, XXI, da Constituição Federal de 1988</w:t>
      </w:r>
      <w:r>
        <w:rPr>
          <w:rStyle w:val="62"/>
          <w:sz w:val="21"/>
          <w:szCs w:val="21"/>
        </w:rPr>
        <w:fldChar w:fldCharType="end"/>
      </w:r>
      <w:r>
        <w:rPr>
          <w:color w:val="000000"/>
          <w:sz w:val="21"/>
          <w:szCs w:val="21"/>
        </w:rPr>
        <w:t xml:space="preserve">, não haverá exigência de qualificação econômico-financeira, previstas no </w:t>
      </w:r>
      <w:r>
        <w:rPr>
          <w:sz w:val="21"/>
          <w:szCs w:val="21"/>
        </w:rPr>
        <w:fldChar w:fldCharType="begin"/>
      </w:r>
      <w:r>
        <w:rPr>
          <w:rStyle w:val="62"/>
          <w:sz w:val="21"/>
          <w:szCs w:val="21"/>
        </w:rPr>
        <w:instrText xml:space="preserve"> HYPERLINK "https://www.planalto.gov.br/ccivil_03/_ato2019-2022/2021/lei/l14133.htm" \l "art69"</w:instrText>
      </w:r>
      <w:r>
        <w:rPr>
          <w:rStyle w:val="62"/>
          <w:sz w:val="21"/>
          <w:szCs w:val="21"/>
        </w:rPr>
        <w:fldChar w:fldCharType="separate"/>
      </w:r>
      <w:r>
        <w:rPr>
          <w:rStyle w:val="62"/>
          <w:sz w:val="21"/>
          <w:szCs w:val="21"/>
        </w:rPr>
        <w:t>art. 69 da Lei Federal nº 14.133, de 2021</w:t>
      </w:r>
      <w:r>
        <w:rPr>
          <w:rStyle w:val="62"/>
          <w:sz w:val="21"/>
          <w:szCs w:val="21"/>
        </w:rPr>
        <w:fldChar w:fldCharType="end"/>
      </w:r>
      <w:r>
        <w:rPr>
          <w:color w:val="000000"/>
          <w:sz w:val="21"/>
          <w:szCs w:val="21"/>
        </w:rPr>
        <w:t>.</w:t>
      </w:r>
    </w:p>
    <w:p w14:paraId="6C877B87">
      <w:pPr>
        <w:pStyle w:val="2"/>
        <w:spacing w:before="360" w:after="0"/>
        <w:rPr>
          <w:sz w:val="21"/>
          <w:szCs w:val="21"/>
        </w:rPr>
      </w:pPr>
      <w:bookmarkStart w:id="38" w:name="_Toc149517453"/>
      <w:r>
        <w:rPr>
          <w:rStyle w:val="53"/>
          <w:sz w:val="21"/>
          <w:szCs w:val="21"/>
        </w:rPr>
        <w:t>OUTROS DOCUMENTOS</w:t>
      </w:r>
      <w:bookmarkEnd w:id="38"/>
    </w:p>
    <w:p w14:paraId="38B898E3">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Sob pena de inabilitação, o licitante deverá apresentar declarações, conforme modelo constante no </w:t>
      </w:r>
      <w:r>
        <w:rPr>
          <w:sz w:val="21"/>
          <w:szCs w:val="21"/>
        </w:rPr>
        <w:fldChar w:fldCharType="begin"/>
      </w:r>
      <w:r>
        <w:rPr>
          <w:sz w:val="21"/>
          <w:szCs w:val="21"/>
        </w:rPr>
        <w:instrText xml:space="preserve"> HYPERLINK \l "_ANEXO_III_-" \h </w:instrText>
      </w:r>
      <w:r>
        <w:rPr>
          <w:sz w:val="21"/>
          <w:szCs w:val="21"/>
        </w:rPr>
        <w:fldChar w:fldCharType="separate"/>
      </w:r>
      <w:r>
        <w:rPr>
          <w:rStyle w:val="62"/>
          <w:sz w:val="21"/>
          <w:szCs w:val="21"/>
        </w:rPr>
        <w:t>Anexo III - Modelo de Declarações</w:t>
      </w:r>
      <w:r>
        <w:rPr>
          <w:rStyle w:val="62"/>
          <w:sz w:val="21"/>
          <w:szCs w:val="21"/>
        </w:rPr>
        <w:fldChar w:fldCharType="end"/>
      </w:r>
      <w:r>
        <w:rPr>
          <w:color w:val="000000"/>
          <w:sz w:val="21"/>
          <w:szCs w:val="21"/>
        </w:rPr>
        <w:t>, de que:</w:t>
      </w:r>
    </w:p>
    <w:p w14:paraId="663772AE">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está ciente e concorda com as condições contidas no Edital e seus anexos, bem como de que cumpre plenamente os requisitos de habilitação definidos no Edital;</w:t>
      </w:r>
    </w:p>
    <w:p w14:paraId="45EF7788">
      <w:pPr>
        <w:pStyle w:val="50"/>
        <w:numPr>
          <w:ilvl w:val="2"/>
          <w:numId w:val="1"/>
        </w:numPr>
        <w:tabs>
          <w:tab w:val="left" w:pos="1134"/>
        </w:tabs>
        <w:spacing w:before="0" w:after="0"/>
        <w:jc w:val="both"/>
        <w:textAlignment w:val="baseline"/>
        <w:rPr>
          <w:rFonts w:ascii="Times New Roman" w:hAnsi="Times New Roman"/>
          <w:sz w:val="21"/>
          <w:szCs w:val="21"/>
        </w:rPr>
      </w:pPr>
      <w:r>
        <w:rPr>
          <w:color w:val="000000"/>
          <w:sz w:val="21"/>
          <w:szCs w:val="21"/>
        </w:rPr>
        <w:t>inexistem fatos impeditivos para sua habilitação no certame, ciente da obrigatoriedade de declarar ocorrências posteriores;</w:t>
      </w:r>
    </w:p>
    <w:p w14:paraId="29B4D0FD">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 xml:space="preserve">não emprega menor de 18 anos em trabalho noturno, perigoso ou insalubre e não emprega menor de 16 anos, salvo menor, a partir de 14 anos, na condição de aprendiz, nos termos do </w:t>
      </w:r>
      <w:r>
        <w:rPr>
          <w:sz w:val="21"/>
          <w:szCs w:val="21"/>
        </w:rPr>
        <w:fldChar w:fldCharType="begin"/>
      </w:r>
      <w:r>
        <w:rPr>
          <w:rStyle w:val="62"/>
          <w:sz w:val="21"/>
          <w:szCs w:val="21"/>
        </w:rPr>
        <w:instrText xml:space="preserve"> HYPERLINK "https://www.planalto.gov.br/ccivil_03/constituicao/constituicao.htm" \l "art7"</w:instrText>
      </w:r>
      <w:r>
        <w:rPr>
          <w:rStyle w:val="62"/>
          <w:sz w:val="21"/>
          <w:szCs w:val="21"/>
        </w:rPr>
        <w:fldChar w:fldCharType="separate"/>
      </w:r>
      <w:r>
        <w:rPr>
          <w:rStyle w:val="62"/>
          <w:sz w:val="21"/>
          <w:szCs w:val="21"/>
        </w:rPr>
        <w:t>art. 7°, XXXIII, da Constituição Federal de 1988</w:t>
      </w:r>
      <w:r>
        <w:rPr>
          <w:rStyle w:val="62"/>
          <w:sz w:val="21"/>
          <w:szCs w:val="21"/>
        </w:rPr>
        <w:fldChar w:fldCharType="end"/>
      </w:r>
      <w:r>
        <w:rPr>
          <w:color w:val="000000"/>
          <w:sz w:val="21"/>
          <w:szCs w:val="21"/>
        </w:rPr>
        <w:t>;</w:t>
      </w:r>
    </w:p>
    <w:p w14:paraId="575D859C">
      <w:pPr>
        <w:pStyle w:val="50"/>
        <w:numPr>
          <w:ilvl w:val="2"/>
          <w:numId w:val="1"/>
        </w:numPr>
        <w:tabs>
          <w:tab w:val="left" w:pos="1134"/>
        </w:tabs>
        <w:spacing w:before="0" w:beforeAutospacing="0" w:after="0" w:afterAutospacing="0"/>
        <w:jc w:val="both"/>
        <w:textAlignment w:val="baseline"/>
        <w:rPr>
          <w:sz w:val="21"/>
          <w:szCs w:val="21"/>
        </w:rPr>
      </w:pPr>
      <w:r>
        <w:rPr>
          <w:sz w:val="21"/>
          <w:szCs w:val="21"/>
        </w:rPr>
        <w:t xml:space="preserve">não possui empregados executando trabalho degradante ou forçado, observando o disposto nos </w:t>
      </w:r>
      <w:r>
        <w:rPr>
          <w:sz w:val="21"/>
          <w:szCs w:val="21"/>
        </w:rPr>
        <w:fldChar w:fldCharType="begin"/>
      </w:r>
      <w:r>
        <w:rPr>
          <w:rStyle w:val="62"/>
          <w:sz w:val="21"/>
          <w:szCs w:val="21"/>
        </w:rPr>
        <w:instrText xml:space="preserve"> HYPERLINK "https://www.planalto.gov.br/ccivil_03/constituicao/constituicao.htm" \l "art5"</w:instrText>
      </w:r>
      <w:r>
        <w:rPr>
          <w:rStyle w:val="62"/>
          <w:sz w:val="21"/>
          <w:szCs w:val="21"/>
        </w:rPr>
        <w:fldChar w:fldCharType="separate"/>
      </w:r>
      <w:r>
        <w:rPr>
          <w:rStyle w:val="62"/>
          <w:sz w:val="21"/>
          <w:szCs w:val="21"/>
        </w:rPr>
        <w:t>incisos III e IV do art. 1º e no inciso III do art. 5º da Constituição Federal de 1988</w:t>
      </w:r>
      <w:r>
        <w:rPr>
          <w:rStyle w:val="62"/>
          <w:sz w:val="21"/>
          <w:szCs w:val="21"/>
        </w:rPr>
        <w:fldChar w:fldCharType="end"/>
      </w:r>
      <w:r>
        <w:rPr>
          <w:sz w:val="21"/>
          <w:szCs w:val="21"/>
        </w:rPr>
        <w:t>;</w:t>
      </w:r>
    </w:p>
    <w:p w14:paraId="70F7D14A">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 xml:space="preserve">não mantém vínculo de natureza técnica, comercial, econômica, financeira, trabalhista ou civil com dirigente da </w:t>
      </w:r>
      <w:bookmarkStart w:id="39" w:name="_Hlk149515729"/>
      <w:r>
        <w:rPr>
          <w:color w:val="000000"/>
          <w:sz w:val="21"/>
          <w:szCs w:val="21"/>
        </w:rPr>
        <w:t>Câmara Municipal de Primavera do Leste - MT</w:t>
      </w:r>
      <w:bookmarkEnd w:id="39"/>
      <w:r>
        <w:rPr>
          <w:sz w:val="21"/>
          <w:szCs w:val="21"/>
        </w:rPr>
        <w:t xml:space="preserve"> </w:t>
      </w:r>
      <w:r>
        <w:rPr>
          <w:color w:val="000000"/>
          <w:sz w:val="21"/>
          <w:szCs w:val="21"/>
        </w:rPr>
        <w:t>ou que deles seja cônjuge, companheiro ou parente em linha reta, colateral ou por afinidade, até o terceiro grau (</w:t>
      </w:r>
      <w:r>
        <w:rPr>
          <w:sz w:val="21"/>
          <w:szCs w:val="21"/>
        </w:rPr>
        <w:fldChar w:fldCharType="begin"/>
      </w:r>
      <w:r>
        <w:rPr>
          <w:rStyle w:val="62"/>
          <w:sz w:val="21"/>
          <w:szCs w:val="21"/>
        </w:rPr>
        <w:instrText xml:space="preserve"> HYPERLINK "https://www.planalto.gov.br/ccivil_03/_ato2019-2022/2021/lei/l14133.htm" \l "art14"</w:instrText>
      </w:r>
      <w:r>
        <w:rPr>
          <w:rStyle w:val="62"/>
          <w:sz w:val="21"/>
          <w:szCs w:val="21"/>
        </w:rPr>
        <w:fldChar w:fldCharType="separate"/>
      </w:r>
      <w:r>
        <w:rPr>
          <w:rStyle w:val="62"/>
          <w:sz w:val="21"/>
          <w:szCs w:val="21"/>
        </w:rPr>
        <w:t>art. 14, IV, da Lei Federal nº 14.133, de 2021</w:t>
      </w:r>
      <w:r>
        <w:rPr>
          <w:rStyle w:val="62"/>
          <w:sz w:val="21"/>
          <w:szCs w:val="21"/>
        </w:rPr>
        <w:fldChar w:fldCharType="end"/>
      </w:r>
      <w:r>
        <w:rPr>
          <w:color w:val="000000"/>
          <w:sz w:val="21"/>
          <w:szCs w:val="21"/>
        </w:rPr>
        <w:t>);</w:t>
      </w:r>
    </w:p>
    <w:p w14:paraId="24BDDB6F">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 xml:space="preserve">cumpre as exigências de reserva de cargos para pessoa com deficiência e para reabilitado da Previdência Social, previstas em lei e em outras normas específicas, em especial no </w:t>
      </w:r>
      <w:r>
        <w:rPr>
          <w:sz w:val="21"/>
          <w:szCs w:val="21"/>
        </w:rPr>
        <w:fldChar w:fldCharType="begin"/>
      </w:r>
      <w:r>
        <w:rPr>
          <w:rStyle w:val="62"/>
          <w:sz w:val="21"/>
          <w:szCs w:val="21"/>
        </w:rPr>
        <w:instrText xml:space="preserve"> HYPERLINK "https://www.planalto.gov.br/ccivil_03/leis/l8213cons.htm" \l "art93"</w:instrText>
      </w:r>
      <w:r>
        <w:rPr>
          <w:rStyle w:val="62"/>
          <w:sz w:val="21"/>
          <w:szCs w:val="21"/>
        </w:rPr>
        <w:fldChar w:fldCharType="separate"/>
      </w:r>
      <w:r>
        <w:rPr>
          <w:rStyle w:val="62"/>
          <w:sz w:val="21"/>
          <w:szCs w:val="21"/>
        </w:rPr>
        <w:t>art. 93 da Lei Federal nº 8.213, de 1991</w:t>
      </w:r>
      <w:r>
        <w:rPr>
          <w:rStyle w:val="62"/>
          <w:sz w:val="21"/>
          <w:szCs w:val="21"/>
        </w:rPr>
        <w:fldChar w:fldCharType="end"/>
      </w:r>
      <w:r>
        <w:rPr>
          <w:color w:val="000000"/>
          <w:sz w:val="21"/>
          <w:szCs w:val="21"/>
        </w:rPr>
        <w:t xml:space="preserve"> (</w:t>
      </w:r>
      <w:r>
        <w:rPr>
          <w:sz w:val="21"/>
          <w:szCs w:val="21"/>
        </w:rPr>
        <w:fldChar w:fldCharType="begin"/>
      </w:r>
      <w:r>
        <w:rPr>
          <w:rStyle w:val="62"/>
          <w:sz w:val="21"/>
          <w:szCs w:val="21"/>
        </w:rPr>
        <w:instrText xml:space="preserve"> HYPERLINK "https://www.planalto.gov.br/ccivil_03/_ato2019-2022/2021/lei/l14133.htm" \l "art63"</w:instrText>
      </w:r>
      <w:r>
        <w:rPr>
          <w:rStyle w:val="62"/>
          <w:sz w:val="21"/>
          <w:szCs w:val="21"/>
        </w:rPr>
        <w:fldChar w:fldCharType="separate"/>
      </w:r>
      <w:r>
        <w:rPr>
          <w:rStyle w:val="62"/>
          <w:sz w:val="21"/>
          <w:szCs w:val="21"/>
        </w:rPr>
        <w:t>art. 63, IV, da Lei Federal nº 14.133, de 2021</w:t>
      </w:r>
      <w:r>
        <w:rPr>
          <w:rStyle w:val="62"/>
          <w:sz w:val="21"/>
          <w:szCs w:val="21"/>
        </w:rPr>
        <w:fldChar w:fldCharType="end"/>
      </w:r>
      <w:r>
        <w:rPr>
          <w:color w:val="000000"/>
          <w:sz w:val="21"/>
          <w:szCs w:val="21"/>
        </w:rPr>
        <w:t>).</w:t>
      </w:r>
    </w:p>
    <w:p w14:paraId="4C76B06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bookmarkStart w:id="40" w:name="_Ref117000019"/>
      <w:r>
        <w:rPr>
          <w:sz w:val="21"/>
          <w:szCs w:val="21"/>
        </w:rPr>
        <w:t xml:space="preserve">O </w:t>
      </w:r>
      <w:r>
        <w:rPr>
          <w:color w:val="000000"/>
          <w:sz w:val="21"/>
          <w:szCs w:val="21"/>
        </w:rPr>
        <w:t>fornecedor</w:t>
      </w:r>
      <w:r>
        <w:rPr>
          <w:sz w:val="21"/>
          <w:szCs w:val="21"/>
        </w:rPr>
        <w:t xml:space="preserve"> enquadrado como microempresa ou empresa de pequeno porte deverá declarar, ainda, em campo próprio do sistema eletrônico, que cumpre os requisitos estabelecidos no </w:t>
      </w:r>
      <w:r>
        <w:rPr>
          <w:sz w:val="21"/>
          <w:szCs w:val="21"/>
        </w:rPr>
        <w:fldChar w:fldCharType="begin"/>
      </w:r>
      <w:r>
        <w:rPr>
          <w:rStyle w:val="62"/>
          <w:sz w:val="21"/>
          <w:szCs w:val="21"/>
        </w:rPr>
        <w:instrText xml:space="preserve"> HYPERLINK "https://www.planalto.gov.br/ccivil_03/leis/lcp/lcp123.htm" \l "art3"</w:instrText>
      </w:r>
      <w:r>
        <w:rPr>
          <w:rStyle w:val="62"/>
          <w:sz w:val="21"/>
          <w:szCs w:val="21"/>
        </w:rPr>
        <w:fldChar w:fldCharType="separate"/>
      </w:r>
      <w:r>
        <w:rPr>
          <w:rStyle w:val="62"/>
          <w:sz w:val="21"/>
          <w:szCs w:val="21"/>
        </w:rPr>
        <w:t>artigo 3° da Lei Complementar Federal nº 123, de 2006</w:t>
      </w:r>
      <w:r>
        <w:rPr>
          <w:rStyle w:val="62"/>
          <w:sz w:val="21"/>
          <w:szCs w:val="21"/>
        </w:rPr>
        <w:fldChar w:fldCharType="end"/>
      </w:r>
      <w:r>
        <w:rPr>
          <w:sz w:val="21"/>
          <w:szCs w:val="21"/>
        </w:rPr>
        <w:t xml:space="preserve">, estando apto a usufruir do tratamento favorecido estabelecido em seus </w:t>
      </w:r>
      <w:r>
        <w:rPr>
          <w:sz w:val="21"/>
          <w:szCs w:val="21"/>
        </w:rPr>
        <w:fldChar w:fldCharType="begin"/>
      </w:r>
      <w:r>
        <w:rPr>
          <w:rStyle w:val="62"/>
          <w:sz w:val="21"/>
          <w:szCs w:val="21"/>
        </w:rPr>
        <w:instrText xml:space="preserve"> HYPERLINK "https://www.planalto.gov.br/ccivil_03/leis/lcp/lcp123.htm" \l "art42"</w:instrText>
      </w:r>
      <w:r>
        <w:rPr>
          <w:rStyle w:val="62"/>
          <w:sz w:val="21"/>
          <w:szCs w:val="21"/>
        </w:rPr>
        <w:fldChar w:fldCharType="separate"/>
      </w:r>
      <w:bookmarkEnd w:id="40"/>
      <w:r>
        <w:rPr>
          <w:rStyle w:val="62"/>
          <w:sz w:val="21"/>
          <w:szCs w:val="21"/>
        </w:rPr>
        <w:t>arts. 42 a 49</w:t>
      </w:r>
      <w:r>
        <w:rPr>
          <w:rStyle w:val="62"/>
          <w:sz w:val="21"/>
          <w:szCs w:val="21"/>
        </w:rPr>
        <w:fldChar w:fldCharType="end"/>
      </w:r>
      <w:r>
        <w:rPr>
          <w:sz w:val="21"/>
          <w:szCs w:val="21"/>
        </w:rPr>
        <w:t xml:space="preserve">, observado o disposto nos </w:t>
      </w:r>
      <w:r>
        <w:rPr>
          <w:sz w:val="21"/>
          <w:szCs w:val="21"/>
        </w:rPr>
        <w:fldChar w:fldCharType="begin"/>
      </w:r>
      <w:r>
        <w:rPr>
          <w:rStyle w:val="62"/>
          <w:sz w:val="21"/>
          <w:szCs w:val="21"/>
        </w:rPr>
        <w:instrText xml:space="preserve"> HYPERLINK "http://www.planalto.gov.br/ccivil_03/_ato2019-2022/2021/lei/L14133.htm" \l "art4§1"</w:instrText>
      </w:r>
      <w:r>
        <w:rPr>
          <w:rStyle w:val="62"/>
          <w:sz w:val="21"/>
          <w:szCs w:val="21"/>
        </w:rPr>
        <w:fldChar w:fldCharType="separate"/>
      </w:r>
      <w:r>
        <w:rPr>
          <w:rStyle w:val="62"/>
          <w:sz w:val="21"/>
          <w:szCs w:val="21"/>
        </w:rPr>
        <w:t>§§ 1º ao 3º do art. 4º, da Lei Federal nº 14.133, de 2021.</w:t>
      </w:r>
      <w:r>
        <w:rPr>
          <w:rStyle w:val="62"/>
          <w:sz w:val="21"/>
          <w:szCs w:val="21"/>
        </w:rPr>
        <w:fldChar w:fldCharType="end"/>
      </w:r>
    </w:p>
    <w:p w14:paraId="5407592B">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 declaração falsa relativa ao cumprimento de qualquer condição sujeitará o licitante às sanções previstas em lei e neste Edital, em especial a infração administrativa prevista no </w:t>
      </w:r>
      <w:r>
        <w:rPr>
          <w:sz w:val="21"/>
          <w:szCs w:val="21"/>
        </w:rPr>
        <w:fldChar w:fldCharType="begin"/>
      </w:r>
      <w:r>
        <w:rPr>
          <w:rStyle w:val="62"/>
          <w:sz w:val="21"/>
          <w:szCs w:val="21"/>
        </w:rPr>
        <w:instrText xml:space="preserve"> HYPERLINK "https://www.planalto.gov.br/ccivil_03/_ato2019-2022/2021/lei/l14133.htm" \l "art156"</w:instrText>
      </w:r>
      <w:r>
        <w:rPr>
          <w:rStyle w:val="62"/>
          <w:sz w:val="21"/>
          <w:szCs w:val="21"/>
        </w:rPr>
        <w:fldChar w:fldCharType="separate"/>
      </w:r>
      <w:r>
        <w:rPr>
          <w:rStyle w:val="62"/>
          <w:sz w:val="21"/>
          <w:szCs w:val="21"/>
        </w:rPr>
        <w:t>art. 156, IV, da Lei Federal nº 14.133, de 2021</w:t>
      </w:r>
      <w:r>
        <w:rPr>
          <w:rStyle w:val="62"/>
          <w:sz w:val="21"/>
          <w:szCs w:val="21"/>
        </w:rPr>
        <w:fldChar w:fldCharType="end"/>
      </w:r>
      <w:r>
        <w:rPr>
          <w:color w:val="000000"/>
          <w:sz w:val="21"/>
          <w:szCs w:val="21"/>
        </w:rPr>
        <w:t>.</w:t>
      </w:r>
    </w:p>
    <w:p w14:paraId="23BAEA79">
      <w:pPr>
        <w:pStyle w:val="2"/>
        <w:spacing w:before="360" w:after="0"/>
        <w:rPr>
          <w:sz w:val="21"/>
          <w:szCs w:val="21"/>
        </w:rPr>
      </w:pPr>
      <w:bookmarkStart w:id="41" w:name="_Toc149517454"/>
      <w:r>
        <w:rPr>
          <w:rStyle w:val="53"/>
          <w:sz w:val="21"/>
          <w:szCs w:val="21"/>
        </w:rPr>
        <w:t>ENCAMINHAMENTO DA PROPOSTA VENCEDORA</w:t>
      </w:r>
      <w:bookmarkEnd w:id="41"/>
    </w:p>
    <w:p w14:paraId="3A808B11">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A proposta final do licitante habilitado e declarado vencedor deverá ser encaminhada no prazo de 2 (duas) horas, a contar da solicitação do </w:t>
      </w:r>
      <w:r>
        <w:rPr>
          <w:sz w:val="21"/>
          <w:szCs w:val="21"/>
        </w:rPr>
        <w:t>Pregoeiro</w:t>
      </w:r>
      <w:r>
        <w:rPr>
          <w:color w:val="000000"/>
          <w:sz w:val="21"/>
          <w:szCs w:val="21"/>
        </w:rPr>
        <w:t xml:space="preserve"> no sistema eletrônico e deverá:</w:t>
      </w:r>
    </w:p>
    <w:p w14:paraId="2D5A131B">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ser redigida em língua portuguesa, datilografada ou digitada, em uma via, sem emendas, rasuras, entrelinhas ou ressalvas, devendo a última folha ser assinada e as demais rubricadas pelo licitante ou seu representante legal, se a assinatura não for digital;</w:t>
      </w:r>
    </w:p>
    <w:p w14:paraId="305B2E22">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conter a indicação do banco, número da conta e agência do licitante vencedor, para fins de pagamento;</w:t>
      </w:r>
    </w:p>
    <w:p w14:paraId="27D9E492">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conter os dados pessoais do responsável pela assinatura da contratação, devendo ser enviado cópia dos documentos pessoais e documento que comprove a representatividade.</w:t>
      </w:r>
    </w:p>
    <w:p w14:paraId="7BE1C2A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proposta final deverá ser documentada nos autos e será levada em consideração no decorrer da execução do contrato e aplicação de eventual sanção administrativa à futura contratada, se for o caso.</w:t>
      </w:r>
    </w:p>
    <w:p w14:paraId="4CB12F9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Todas as especificações do objeto contidas na proposta, tais como marca, modelo, tipo, fabricante e procedência, vinculam a futura contratada.</w:t>
      </w:r>
    </w:p>
    <w:p w14:paraId="620879F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Os preços deverão ser expressos em moeda corrente nacional, o valor unitário em algarismos e o valor global em algarismos (</w:t>
      </w:r>
      <w:r>
        <w:rPr>
          <w:sz w:val="21"/>
          <w:szCs w:val="21"/>
        </w:rPr>
        <w:fldChar w:fldCharType="begin"/>
      </w:r>
      <w:r>
        <w:rPr>
          <w:rStyle w:val="62"/>
          <w:sz w:val="21"/>
          <w:szCs w:val="21"/>
        </w:rPr>
        <w:instrText xml:space="preserve"> HYPERLINK "https://www.planalto.gov.br/ccivil_03/_ato2019-2022/2021/lei/l14133.htm" \l "art12"</w:instrText>
      </w:r>
      <w:r>
        <w:rPr>
          <w:rStyle w:val="62"/>
          <w:sz w:val="21"/>
          <w:szCs w:val="21"/>
        </w:rPr>
        <w:fldChar w:fldCharType="separate"/>
      </w:r>
      <w:r>
        <w:rPr>
          <w:rStyle w:val="62"/>
          <w:sz w:val="21"/>
          <w:szCs w:val="21"/>
        </w:rPr>
        <w:t>art. 12, II, da Lei Federal nº 14.133, de 2021</w:t>
      </w:r>
      <w:r>
        <w:rPr>
          <w:rStyle w:val="62"/>
          <w:sz w:val="21"/>
          <w:szCs w:val="21"/>
        </w:rPr>
        <w:fldChar w:fldCharType="end"/>
      </w:r>
      <w:r>
        <w:rPr>
          <w:color w:val="000000"/>
          <w:sz w:val="21"/>
          <w:szCs w:val="21"/>
        </w:rPr>
        <w:t>).</w:t>
      </w:r>
    </w:p>
    <w:p w14:paraId="3DA110F7">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oferta deverá ser firme e precisa, limitada, rigorosamente, ao objeto deste Edital, sem conter alternativas de preço ou de qualquer outra condição que induza o julgamento a mais de um resultado, sob pena de desclassificação.</w:t>
      </w:r>
    </w:p>
    <w:p w14:paraId="5E3DB55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proposta deverá obedecer aos termos deste Edital e seus Anexos, não sendo considerada aquela que não corresponda às especificações ali contidas ou que estabeleça vínculo à proposta de outro licitante.</w:t>
      </w:r>
    </w:p>
    <w:p w14:paraId="5DD089A2">
      <w:pPr>
        <w:pStyle w:val="2"/>
        <w:spacing w:before="360" w:after="0"/>
        <w:rPr>
          <w:sz w:val="21"/>
          <w:szCs w:val="21"/>
        </w:rPr>
      </w:pPr>
      <w:bookmarkStart w:id="42" w:name="_Toc149517455"/>
      <w:r>
        <w:rPr>
          <w:rStyle w:val="53"/>
          <w:sz w:val="21"/>
          <w:szCs w:val="21"/>
        </w:rPr>
        <w:t>RECURSO(S) ADMINISTRATIVO(S)</w:t>
      </w:r>
      <w:bookmarkEnd w:id="42"/>
    </w:p>
    <w:p w14:paraId="1FE789B4">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A interposição de recurso referente ao julgamento das propostas, à habilitação ou inabilitação de licitantes, à anulação ou revogação da licitação, observará o disposto no </w:t>
      </w:r>
      <w:r>
        <w:rPr>
          <w:sz w:val="21"/>
          <w:szCs w:val="21"/>
        </w:rPr>
        <w:fldChar w:fldCharType="begin"/>
      </w:r>
      <w:r>
        <w:rPr>
          <w:rStyle w:val="62"/>
          <w:sz w:val="21"/>
          <w:szCs w:val="21"/>
        </w:rPr>
        <w:instrText xml:space="preserve"> HYPERLINK "https://www.planalto.gov.br/ccivil_03/_ato2019-2022/2021/lei/l14133.htm" \l "art165"</w:instrText>
      </w:r>
      <w:r>
        <w:rPr>
          <w:rStyle w:val="62"/>
          <w:sz w:val="21"/>
          <w:szCs w:val="21"/>
        </w:rPr>
        <w:fldChar w:fldCharType="separate"/>
      </w:r>
      <w:r>
        <w:rPr>
          <w:rStyle w:val="62"/>
          <w:sz w:val="21"/>
          <w:szCs w:val="21"/>
        </w:rPr>
        <w:t>art. 165 da Lei Federal nº 14.133, de 2021</w:t>
      </w:r>
      <w:r>
        <w:rPr>
          <w:rStyle w:val="62"/>
          <w:sz w:val="21"/>
          <w:szCs w:val="21"/>
        </w:rPr>
        <w:fldChar w:fldCharType="end"/>
      </w:r>
      <w:r>
        <w:rPr>
          <w:color w:val="000000"/>
          <w:sz w:val="21"/>
          <w:szCs w:val="21"/>
        </w:rPr>
        <w:t>.</w:t>
      </w:r>
    </w:p>
    <w:p w14:paraId="69444FE8">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Qualquer licitante poderá, durante o prazo concedido na sessão pública, não inferior a 10 (dez) minutos, de forma imediata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14:paraId="4574FC3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 </w:t>
      </w:r>
      <w:r>
        <w:rPr>
          <w:sz w:val="21"/>
          <w:szCs w:val="21"/>
        </w:rPr>
        <w:t>Pregoeiro</w:t>
      </w:r>
      <w:r>
        <w:rPr>
          <w:color w:val="000000"/>
          <w:sz w:val="21"/>
          <w:szCs w:val="21"/>
        </w:rPr>
        <w:t xml:space="preserve"> em face dos demais itens do objeto da licitação.</w:t>
      </w:r>
    </w:p>
    <w:p w14:paraId="6E035ABE">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Os recursos e as contrarrazões deverão ser encaminhados em campo próprio do sistema, e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7D035125">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O RECURSO ADMINISTRATIVO poderá atacar qualquer ato decisório ou procedimento adotado pelo </w:t>
      </w:r>
      <w:r>
        <w:rPr>
          <w:sz w:val="21"/>
          <w:szCs w:val="21"/>
        </w:rPr>
        <w:t>Pregoeiro</w:t>
      </w:r>
      <w:r>
        <w:rPr>
          <w:color w:val="000000"/>
          <w:sz w:val="21"/>
          <w:szCs w:val="21"/>
        </w:rPr>
        <w:t xml:space="preserve"> durante todo o certame licitatório, não sendo meio adequado para impugnar regras do Edital e seus Anexos.</w:t>
      </w:r>
    </w:p>
    <w:p w14:paraId="6554667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Havendo registro de INTENÇÃO DE RECURSO, o </w:t>
      </w:r>
      <w:r>
        <w:rPr>
          <w:sz w:val="21"/>
          <w:szCs w:val="21"/>
        </w:rPr>
        <w:t>Pregoeiro</w:t>
      </w:r>
      <w:r>
        <w:rPr>
          <w:color w:val="000000"/>
          <w:sz w:val="21"/>
          <w:szCs w:val="21"/>
        </w:rPr>
        <w:t xml:space="preserve"> fará JUÍZO DE ADMISSIBILIDADE da intenção de recorrer manifestada, aceitando-a ou, motivadamente, rejeitando-a, em campo próprio do sistema, em razão da não observância dos pressupostos recursais de admissibilidade.</w:t>
      </w:r>
    </w:p>
    <w:p w14:paraId="2DE3521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Será rejeitada a INTENÇÃO DE RECURSO de caráter protelatório que:</w:t>
      </w:r>
    </w:p>
    <w:p w14:paraId="2DE42E9A">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seja registrada por quem não tenha legítimo interesse;</w:t>
      </w:r>
    </w:p>
    <w:p w14:paraId="5B22C73E">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seja intempestiva;</w:t>
      </w:r>
    </w:p>
    <w:p w14:paraId="6EB0F503">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 xml:space="preserve">não ataque ato decisório ou procedimental praticado pelo </w:t>
      </w:r>
      <w:r>
        <w:rPr>
          <w:sz w:val="21"/>
          <w:szCs w:val="21"/>
        </w:rPr>
        <w:t>Pregoeiro</w:t>
      </w:r>
      <w:r>
        <w:rPr>
          <w:color w:val="000000"/>
          <w:sz w:val="21"/>
          <w:szCs w:val="21"/>
        </w:rPr>
        <w:t xml:space="preserve"> no certame; e/ou</w:t>
      </w:r>
    </w:p>
    <w:p w14:paraId="0F991CF5">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seja fundamentada em mera insatisfação do licitante, sem alegação de qualquer fato prejudicial ou desconforme com o presente Edital e/ou com a legislação vigente.</w:t>
      </w:r>
    </w:p>
    <w:p w14:paraId="53AC1E65">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15A9CCF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Não é imprescindível haver total correspondência entre os fatos e fundamentos indicados na intenção de recurso e as razões escritas do respectivo recurso.</w:t>
      </w:r>
    </w:p>
    <w:p w14:paraId="742A44B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Para justificar sua intenção de recorrer e fundamentar suas razões ou contrarrazões de recurso administrativo, o licitante interessado poderá solicitar vistas dos autos ou consultar as informações do certame disponíveis no próprio </w:t>
      </w:r>
      <w:r>
        <w:rPr>
          <w:sz w:val="21"/>
          <w:szCs w:val="21"/>
        </w:rPr>
        <w:t>Portal Licitanet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sz w:val="21"/>
          <w:szCs w:val="21"/>
        </w:rPr>
        <w:t>).</w:t>
      </w:r>
    </w:p>
    <w:p w14:paraId="4CEF7618">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Os autos do procedimento permanecerão com vista franqueada aos interessados. Para tanto, as empresas interessadas deverão entrar em contato com o </w:t>
      </w:r>
      <w:r>
        <w:rPr>
          <w:sz w:val="21"/>
          <w:szCs w:val="21"/>
        </w:rPr>
        <w:t>Pregoeiro</w:t>
      </w:r>
      <w:r>
        <w:rPr>
          <w:color w:val="000000"/>
          <w:sz w:val="21"/>
          <w:szCs w:val="21"/>
        </w:rPr>
        <w:t xml:space="preserve"> por intermédio do e-mail </w:t>
      </w:r>
      <w:r>
        <w:rPr>
          <w:sz w:val="21"/>
          <w:szCs w:val="21"/>
        </w:rPr>
        <w:fldChar w:fldCharType="begin"/>
      </w:r>
      <w:r>
        <w:rPr>
          <w:sz w:val="21"/>
          <w:szCs w:val="21"/>
        </w:rPr>
        <w:instrText xml:space="preserve"> HYPERLINK "mailto:licitacao@primaveradoleste.mt.leg.br" \h </w:instrText>
      </w:r>
      <w:r>
        <w:rPr>
          <w:sz w:val="21"/>
          <w:szCs w:val="21"/>
        </w:rPr>
        <w:fldChar w:fldCharType="separate"/>
      </w:r>
      <w:r>
        <w:rPr>
          <w:rStyle w:val="62"/>
          <w:sz w:val="21"/>
          <w:szCs w:val="21"/>
        </w:rPr>
        <w:t>licitacao@primaveradoleste.mt.leg.br</w:t>
      </w:r>
      <w:r>
        <w:rPr>
          <w:rStyle w:val="62"/>
          <w:sz w:val="21"/>
          <w:szCs w:val="21"/>
        </w:rPr>
        <w:fldChar w:fldCharType="end"/>
      </w:r>
      <w:r>
        <w:rPr>
          <w:color w:val="000000"/>
          <w:sz w:val="21"/>
          <w:szCs w:val="21"/>
        </w:rPr>
        <w:t xml:space="preserve"> ou, nos dias úteis e no horário de funcionamento da Câmara, pelo telefone: </w:t>
      </w:r>
      <w:r>
        <w:rPr>
          <w:color w:val="000000"/>
          <w:sz w:val="21"/>
          <w:szCs w:val="21"/>
          <w:shd w:val="clear" w:fill="auto"/>
        </w:rPr>
        <w:t>3498-3590.</w:t>
      </w:r>
    </w:p>
    <w:p w14:paraId="2CC29B4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A não apresentação das razões referente à intenção de recurso registrada no sistema, no prazo legal, importa preclusão do direito de recurso, possibilitando a adjudicação do objeto e homologação do certame. A critério do Pregoeiro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w:t>
      </w:r>
      <w:r>
        <w:rPr>
          <w:sz w:val="21"/>
          <w:szCs w:val="21"/>
        </w:rPr>
        <w:fldChar w:fldCharType="begin"/>
      </w:r>
      <w:r>
        <w:rPr>
          <w:rStyle w:val="62"/>
          <w:sz w:val="21"/>
          <w:szCs w:val="21"/>
        </w:rPr>
        <w:instrText xml:space="preserve"> HYPERLINK "https://www.planalto.gov.br/ccivil_03/constituicao/constituicao.htm" \l "art5"</w:instrText>
      </w:r>
      <w:r>
        <w:rPr>
          <w:rStyle w:val="62"/>
          <w:sz w:val="21"/>
          <w:szCs w:val="21"/>
        </w:rPr>
        <w:fldChar w:fldCharType="separate"/>
      </w:r>
      <w:r>
        <w:rPr>
          <w:rStyle w:val="62"/>
          <w:sz w:val="21"/>
          <w:szCs w:val="21"/>
        </w:rPr>
        <w:t>art. 5º, XXXIV, "a", Constituição Federal de 1988</w:t>
      </w:r>
      <w:r>
        <w:rPr>
          <w:rStyle w:val="62"/>
          <w:sz w:val="21"/>
          <w:szCs w:val="21"/>
        </w:rPr>
        <w:fldChar w:fldCharType="end"/>
      </w:r>
      <w:r>
        <w:rPr>
          <w:sz w:val="21"/>
          <w:szCs w:val="21"/>
        </w:rPr>
        <w:t>).</w:t>
      </w:r>
    </w:p>
    <w:p w14:paraId="7F95604B">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Mesmo que o recurso administrativo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rPr>
          <w:sz w:val="21"/>
          <w:szCs w:val="21"/>
        </w:rPr>
        <w:fldChar w:fldCharType="begin"/>
      </w:r>
      <w:r>
        <w:rPr>
          <w:sz w:val="21"/>
          <w:szCs w:val="21"/>
        </w:rPr>
        <w:instrText xml:space="preserve"> HYPERLINK "https://portal.stf.jus.br/jurisprudencia/sumariosumulas.asp?base=30&amp;sumula=1602" \h </w:instrText>
      </w:r>
      <w:r>
        <w:rPr>
          <w:sz w:val="21"/>
          <w:szCs w:val="21"/>
        </w:rPr>
        <w:fldChar w:fldCharType="separate"/>
      </w:r>
      <w:r>
        <w:rPr>
          <w:rStyle w:val="62"/>
          <w:sz w:val="21"/>
          <w:szCs w:val="21"/>
        </w:rPr>
        <w:t>Súmula nº 473 do STF</w:t>
      </w:r>
      <w:r>
        <w:rPr>
          <w:rStyle w:val="62"/>
          <w:sz w:val="21"/>
          <w:szCs w:val="21"/>
        </w:rPr>
        <w:fldChar w:fldCharType="end"/>
      </w:r>
      <w:r>
        <w:rPr>
          <w:color w:val="000000"/>
          <w:sz w:val="21"/>
          <w:szCs w:val="21"/>
        </w:rPr>
        <w:t xml:space="preserve"> e </w:t>
      </w:r>
      <w:r>
        <w:rPr>
          <w:sz w:val="21"/>
          <w:szCs w:val="21"/>
        </w:rPr>
        <w:fldChar w:fldCharType="begin"/>
      </w:r>
      <w:r>
        <w:rPr>
          <w:rStyle w:val="62"/>
          <w:sz w:val="21"/>
          <w:szCs w:val="21"/>
        </w:rPr>
        <w:instrText xml:space="preserve"> HYPERLINK "https://www.planalto.gov.br/ccivil_03/_ato2019-2022/2021/lei/l14133.htm" \l "art71"</w:instrText>
      </w:r>
      <w:r>
        <w:rPr>
          <w:rStyle w:val="62"/>
          <w:sz w:val="21"/>
          <w:szCs w:val="21"/>
        </w:rPr>
        <w:fldChar w:fldCharType="separate"/>
      </w:r>
      <w:r>
        <w:rPr>
          <w:rStyle w:val="62"/>
          <w:sz w:val="21"/>
          <w:szCs w:val="21"/>
        </w:rPr>
        <w:t>art. 71, § 3º, da Lei Federal nº 14.133, de 2021</w:t>
      </w:r>
      <w:r>
        <w:rPr>
          <w:rStyle w:val="62"/>
          <w:sz w:val="21"/>
          <w:szCs w:val="21"/>
        </w:rPr>
        <w:fldChar w:fldCharType="end"/>
      </w:r>
      <w:r>
        <w:rPr>
          <w:color w:val="000000"/>
          <w:sz w:val="21"/>
          <w:szCs w:val="21"/>
        </w:rPr>
        <w:t>).</w:t>
      </w:r>
    </w:p>
    <w:p w14:paraId="149BAFF2">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Não cabe RECURSO ADESIVO por ocasião do exercício do direito de contrarrazoar.</w:t>
      </w:r>
    </w:p>
    <w:p w14:paraId="70FE9F37">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Os recursos serão apreciados em fase única, conforme disposto no </w:t>
      </w:r>
      <w:r>
        <w:rPr>
          <w:sz w:val="21"/>
          <w:szCs w:val="21"/>
        </w:rPr>
        <w:fldChar w:fldCharType="begin"/>
      </w:r>
      <w:r>
        <w:rPr>
          <w:rStyle w:val="62"/>
          <w:sz w:val="21"/>
          <w:szCs w:val="21"/>
        </w:rPr>
        <w:instrText xml:space="preserve"> HYPERLINK "https://www.planalto.gov.br/ccivil_03/_ato2019-2022/2021/lei/l14133.htm" \l "art165"</w:instrText>
      </w:r>
      <w:r>
        <w:rPr>
          <w:rStyle w:val="62"/>
          <w:sz w:val="21"/>
          <w:szCs w:val="21"/>
        </w:rPr>
        <w:fldChar w:fldCharType="separate"/>
      </w:r>
      <w:r>
        <w:rPr>
          <w:rStyle w:val="62"/>
          <w:sz w:val="21"/>
          <w:szCs w:val="21"/>
        </w:rPr>
        <w:t>art. 165, §2º, da Lei Federal nº 14.133, de 2021</w:t>
      </w:r>
      <w:r>
        <w:rPr>
          <w:rStyle w:val="62"/>
          <w:sz w:val="21"/>
          <w:szCs w:val="21"/>
        </w:rPr>
        <w:fldChar w:fldCharType="end"/>
      </w:r>
      <w:r>
        <w:rPr>
          <w:color w:val="000000"/>
          <w:sz w:val="21"/>
          <w:szCs w:val="21"/>
        </w:rPr>
        <w:t>.</w:t>
      </w:r>
    </w:p>
    <w:p w14:paraId="68BCF04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Na análise e julgamento do recurso administrativo, poderá o </w:t>
      </w:r>
      <w:r>
        <w:rPr>
          <w:sz w:val="21"/>
          <w:szCs w:val="21"/>
        </w:rPr>
        <w:t>Pregoeiro</w:t>
      </w:r>
      <w:r>
        <w:rPr>
          <w:color w:val="000000"/>
          <w:sz w:val="21"/>
          <w:szCs w:val="21"/>
        </w:rPr>
        <w:t xml:space="preserve"> baixar em diligência os autos para fins de pronunciamento da unidade técnica competente, bem como para Assessoria Jurídica e/ou Assessoria Contábil.</w:t>
      </w:r>
    </w:p>
    <w:p w14:paraId="7A5444AE">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Decorridos os prazos de apresentação de razões e contrarrazões, o </w:t>
      </w:r>
      <w:r>
        <w:rPr>
          <w:sz w:val="21"/>
          <w:szCs w:val="21"/>
        </w:rPr>
        <w:t>Pregoeiro</w:t>
      </w:r>
      <w:r>
        <w:rPr>
          <w:color w:val="000000"/>
          <w:sz w:val="21"/>
          <w:szCs w:val="21"/>
        </w:rPr>
        <w:t xml:space="preserve"> deverá analisar fundamentadamente os fatos e fundamentos arguidos pelo(s) recorrente(s), podendo, em sede de JUÍZO DE RETRATAÇÃO:</w:t>
      </w:r>
    </w:p>
    <w:p w14:paraId="6F24621D">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reconsiderar, total ou parcialmente, a decisão recorrida, reformando-a; ou</w:t>
      </w:r>
    </w:p>
    <w:p w14:paraId="59B19D6F">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manter inalterada a decisão recorrida.</w:t>
      </w:r>
    </w:p>
    <w:p w14:paraId="60E12F75">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Qualquer que seja a decisão do </w:t>
      </w:r>
      <w:r>
        <w:rPr>
          <w:sz w:val="21"/>
          <w:szCs w:val="21"/>
        </w:rPr>
        <w:t>Pregoeiro</w:t>
      </w:r>
      <w:r>
        <w:rPr>
          <w:color w:val="000000"/>
          <w:sz w:val="21"/>
          <w:szCs w:val="21"/>
        </w:rPr>
        <w:t xml:space="preserve">, o processo será submetido, depois de devidamente instruído pelo </w:t>
      </w:r>
      <w:r>
        <w:rPr>
          <w:sz w:val="21"/>
          <w:szCs w:val="21"/>
        </w:rPr>
        <w:t>Pregoeiro</w:t>
      </w:r>
      <w:r>
        <w:rPr>
          <w:color w:val="000000"/>
          <w:sz w:val="21"/>
          <w:szCs w:val="21"/>
        </w:rPr>
        <w:t>, à apreciação da Autoridade Superior (</w:t>
      </w:r>
      <w:r>
        <w:rPr>
          <w:sz w:val="21"/>
          <w:szCs w:val="21"/>
        </w:rPr>
        <w:fldChar w:fldCharType="begin"/>
      </w:r>
      <w:r>
        <w:rPr>
          <w:rStyle w:val="62"/>
          <w:sz w:val="21"/>
          <w:szCs w:val="21"/>
        </w:rPr>
        <w:instrText xml:space="preserve"> HYPERLINK "https://www.planalto.gov.br/ccivil_03/_ato2019-2022/2021/lei/l14133.htm" \l "art165"</w:instrText>
      </w:r>
      <w:r>
        <w:rPr>
          <w:rStyle w:val="62"/>
          <w:sz w:val="21"/>
          <w:szCs w:val="21"/>
        </w:rPr>
        <w:fldChar w:fldCharType="separate"/>
      </w:r>
      <w:r>
        <w:rPr>
          <w:rStyle w:val="62"/>
          <w:sz w:val="21"/>
          <w:szCs w:val="21"/>
        </w:rPr>
        <w:t>art. 165, § 2º, da Lei Federal nº 14.133, de 2021</w:t>
      </w:r>
      <w:r>
        <w:rPr>
          <w:rStyle w:val="62"/>
          <w:sz w:val="21"/>
          <w:szCs w:val="21"/>
        </w:rPr>
        <w:fldChar w:fldCharType="end"/>
      </w:r>
      <w:r>
        <w:rPr>
          <w:color w:val="000000"/>
          <w:sz w:val="21"/>
          <w:szCs w:val="21"/>
        </w:rPr>
        <w:t xml:space="preserve">), que poderá: </w:t>
      </w:r>
    </w:p>
    <w:p w14:paraId="6A9BABA5">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 xml:space="preserve">decidir de pronto o mérito do recurso, segundo os documentos e informações contidas nos autos, como também os fundamentos da decisão do </w:t>
      </w:r>
      <w:r>
        <w:rPr>
          <w:sz w:val="21"/>
          <w:szCs w:val="21"/>
        </w:rPr>
        <w:t>Pregoeiro</w:t>
      </w:r>
      <w:r>
        <w:rPr>
          <w:color w:val="000000"/>
          <w:sz w:val="21"/>
          <w:szCs w:val="21"/>
        </w:rPr>
        <w:t>; OU</w:t>
      </w:r>
    </w:p>
    <w:p w14:paraId="23EF6B7B">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color w:val="000000"/>
          <w:sz w:val="21"/>
          <w:szCs w:val="21"/>
        </w:rPr>
        <w:t>determinar prévia emissão de parecer da área técnica e/ou jurídico para subsidiar sua decisão.</w:t>
      </w:r>
    </w:p>
    <w:p w14:paraId="2E43167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O acolhimento do recurso importará na invalidação apenas dos atos que não possam ser aproveitados. (</w:t>
      </w:r>
      <w:r>
        <w:rPr>
          <w:sz w:val="21"/>
          <w:szCs w:val="21"/>
        </w:rPr>
        <w:fldChar w:fldCharType="begin"/>
      </w:r>
      <w:r>
        <w:rPr>
          <w:rStyle w:val="62"/>
          <w:sz w:val="21"/>
          <w:szCs w:val="21"/>
        </w:rPr>
        <w:instrText xml:space="preserve"> HYPERLINK "https://www.planalto.gov.br/ccivil_03/_ato2019-2022/2021/lei/l14133.htm" \l "art165"</w:instrText>
      </w:r>
      <w:r>
        <w:rPr>
          <w:rStyle w:val="62"/>
          <w:sz w:val="21"/>
          <w:szCs w:val="21"/>
        </w:rPr>
        <w:fldChar w:fldCharType="separate"/>
      </w:r>
      <w:r>
        <w:rPr>
          <w:rStyle w:val="62"/>
          <w:sz w:val="21"/>
          <w:szCs w:val="21"/>
        </w:rPr>
        <w:t>art. 165, §3º, da Lei Federal nº 14.133, de 2021</w:t>
      </w:r>
      <w:r>
        <w:rPr>
          <w:rStyle w:val="62"/>
          <w:sz w:val="21"/>
          <w:szCs w:val="21"/>
        </w:rPr>
        <w:fldChar w:fldCharType="end"/>
      </w:r>
      <w:r>
        <w:rPr>
          <w:color w:val="000000"/>
          <w:sz w:val="21"/>
          <w:szCs w:val="21"/>
        </w:rPr>
        <w:t>).</w:t>
      </w:r>
    </w:p>
    <w:p w14:paraId="49758757">
      <w:pPr>
        <w:pStyle w:val="50"/>
        <w:numPr>
          <w:ilvl w:val="1"/>
          <w:numId w:val="1"/>
        </w:numPr>
        <w:tabs>
          <w:tab w:val="left" w:pos="1134"/>
        </w:tabs>
        <w:spacing w:before="0" w:beforeAutospacing="0" w:after="0" w:afterAutospacing="0"/>
        <w:ind w:left="-87" w:leftChars="0" w:firstLine="567" w:firstLineChars="0"/>
        <w:jc w:val="both"/>
        <w:textAlignment w:val="baseline"/>
        <w:rPr>
          <w:color w:val="000000"/>
          <w:sz w:val="21"/>
          <w:szCs w:val="21"/>
        </w:rPr>
      </w:pPr>
      <w:r>
        <w:rPr>
          <w:color w:val="000000"/>
          <w:sz w:val="21"/>
          <w:szCs w:val="21"/>
        </w:rPr>
        <w:t xml:space="preserve">Após decididos os recursos e constatada a regularidade dos atos praticados, o processo licitatório será enviado à autoridade competente da Câmara Municipal de Primavera do Leste - MT para adjudicar o objeto e homologar o procedimento licitatório, observado o disposto no </w:t>
      </w:r>
      <w:r>
        <w:rPr>
          <w:sz w:val="21"/>
          <w:szCs w:val="21"/>
        </w:rPr>
        <w:fldChar w:fldCharType="begin"/>
      </w:r>
      <w:r>
        <w:rPr>
          <w:rStyle w:val="62"/>
          <w:sz w:val="21"/>
          <w:szCs w:val="21"/>
        </w:rPr>
        <w:instrText xml:space="preserve"> HYPERLINK "https://www.planalto.gov.br/ccivil_03/_ato2019-2022/2021/lei/l14133.htm" \l "art71"</w:instrText>
      </w:r>
      <w:r>
        <w:rPr>
          <w:rStyle w:val="62"/>
          <w:sz w:val="21"/>
          <w:szCs w:val="21"/>
        </w:rPr>
        <w:fldChar w:fldCharType="separate"/>
      </w:r>
      <w:r>
        <w:rPr>
          <w:rStyle w:val="62"/>
          <w:sz w:val="21"/>
          <w:szCs w:val="21"/>
        </w:rPr>
        <w:t>art. 71 da Lei Federal nº 14.133, de 2021</w:t>
      </w:r>
      <w:r>
        <w:rPr>
          <w:rStyle w:val="62"/>
          <w:sz w:val="21"/>
          <w:szCs w:val="21"/>
        </w:rPr>
        <w:fldChar w:fldCharType="end"/>
      </w:r>
      <w:r>
        <w:rPr>
          <w:color w:val="000000"/>
          <w:sz w:val="21"/>
          <w:szCs w:val="21"/>
        </w:rPr>
        <w:t>.</w:t>
      </w:r>
    </w:p>
    <w:p w14:paraId="59066EBC">
      <w:pPr>
        <w:pStyle w:val="2"/>
        <w:spacing w:before="360" w:after="0"/>
        <w:rPr>
          <w:sz w:val="21"/>
          <w:szCs w:val="21"/>
        </w:rPr>
      </w:pPr>
      <w:bookmarkStart w:id="43" w:name="_Toc149517456"/>
      <w:r>
        <w:rPr>
          <w:rStyle w:val="53"/>
          <w:sz w:val="21"/>
          <w:szCs w:val="21"/>
        </w:rPr>
        <w:t>REABERTURA DA SESSÃO PÚBLICA</w:t>
      </w:r>
      <w:bookmarkEnd w:id="43"/>
    </w:p>
    <w:p w14:paraId="1838C9E8">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sz w:val="21"/>
          <w:szCs w:val="21"/>
        </w:rPr>
        <w:t>A sessão pública poderá ser reaberta:</w:t>
      </w:r>
    </w:p>
    <w:p w14:paraId="6D48F9B2">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D9DB521">
      <w:pPr>
        <w:pStyle w:val="50"/>
        <w:numPr>
          <w:ilvl w:val="2"/>
          <w:numId w:val="1"/>
        </w:numPr>
        <w:tabs>
          <w:tab w:val="left" w:pos="1134"/>
        </w:tabs>
        <w:spacing w:before="0" w:beforeAutospacing="0" w:after="0" w:afterAutospacing="0"/>
        <w:jc w:val="both"/>
        <w:textAlignment w:val="baseline"/>
        <w:rPr>
          <w:sz w:val="21"/>
          <w:szCs w:val="21"/>
        </w:rPr>
      </w:pPr>
      <w:r>
        <w:rPr>
          <w:sz w:val="21"/>
          <w:szCs w:val="21"/>
        </w:rPr>
        <w:t xml:space="preserve">Quando houver erro na aceitação do preço melhor classificado ou quando o licitante declarado vencedor não assinar o contrato, não retirar o instrumento equivalente ou não comprovar a regularização fiscal, social e trabalhista, nos termos do </w:t>
      </w:r>
      <w:r>
        <w:rPr>
          <w:sz w:val="21"/>
          <w:szCs w:val="21"/>
        </w:rPr>
        <w:fldChar w:fldCharType="begin"/>
      </w:r>
      <w:r>
        <w:rPr>
          <w:rStyle w:val="62"/>
          <w:sz w:val="21"/>
          <w:szCs w:val="21"/>
        </w:rPr>
        <w:instrText xml:space="preserve"> HYPERLINK "https://www.planalto.gov.br/ccivil_03/leis/lcp/lcp123.htm" \l "art43"</w:instrText>
      </w:r>
      <w:r>
        <w:rPr>
          <w:rStyle w:val="62"/>
          <w:sz w:val="21"/>
          <w:szCs w:val="21"/>
        </w:rPr>
        <w:fldChar w:fldCharType="separate"/>
      </w:r>
      <w:r>
        <w:rPr>
          <w:rStyle w:val="62"/>
          <w:sz w:val="21"/>
          <w:szCs w:val="21"/>
        </w:rPr>
        <w:t>art. 43, §1º, da Lei Complementar Federal nº 123, de 2006</w:t>
      </w:r>
      <w:r>
        <w:rPr>
          <w:rStyle w:val="62"/>
          <w:sz w:val="21"/>
          <w:szCs w:val="21"/>
        </w:rPr>
        <w:fldChar w:fldCharType="end"/>
      </w:r>
      <w:r>
        <w:rPr>
          <w:sz w:val="21"/>
          <w:szCs w:val="21"/>
        </w:rPr>
        <w:t>. Nessas hipóteses, serão adotados os procedimentos imediatamente posteriores ao encerramento da etapa de lances.</w:t>
      </w:r>
    </w:p>
    <w:p w14:paraId="15CF3E7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Todos os licitantes remanescentes deverão ser convocados para acompanhar a sessão reaberta.</w:t>
      </w:r>
    </w:p>
    <w:p w14:paraId="7CEDBEF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A convocação se dará por meio do sistema eletrônico (“</w:t>
      </w:r>
      <w:r>
        <w:rPr>
          <w:i/>
          <w:iCs/>
          <w:sz w:val="21"/>
          <w:szCs w:val="21"/>
        </w:rPr>
        <w:t>chat</w:t>
      </w:r>
      <w:r>
        <w:rPr>
          <w:sz w:val="21"/>
          <w:szCs w:val="21"/>
        </w:rPr>
        <w:t xml:space="preserve">”) ou </w:t>
      </w:r>
      <w:r>
        <w:rPr>
          <w:i/>
          <w:iCs/>
          <w:sz w:val="21"/>
          <w:szCs w:val="21"/>
        </w:rPr>
        <w:t>e-mail</w:t>
      </w:r>
      <w:r>
        <w:rPr>
          <w:sz w:val="21"/>
          <w:szCs w:val="21"/>
        </w:rPr>
        <w:t>, de acordo com a fase do procedimento licitatório, de acordo com o endereço eletrônico registrado na proposta.</w:t>
      </w:r>
    </w:p>
    <w:p w14:paraId="0AB67236">
      <w:pPr>
        <w:pStyle w:val="2"/>
        <w:spacing w:before="360" w:after="0"/>
        <w:rPr>
          <w:sz w:val="21"/>
          <w:szCs w:val="21"/>
        </w:rPr>
      </w:pPr>
      <w:bookmarkStart w:id="44" w:name="_Toc149517457"/>
      <w:r>
        <w:rPr>
          <w:rStyle w:val="53"/>
          <w:sz w:val="21"/>
          <w:szCs w:val="21"/>
        </w:rPr>
        <w:t>ENCERRAMENTO DA LICITAÇÃO</w:t>
      </w:r>
      <w:bookmarkEnd w:id="44"/>
    </w:p>
    <w:p w14:paraId="40F38532">
      <w:pPr>
        <w:pStyle w:val="50"/>
        <w:numPr>
          <w:ilvl w:val="1"/>
          <w:numId w:val="1"/>
        </w:numPr>
        <w:tabs>
          <w:tab w:val="left" w:pos="1134"/>
        </w:tabs>
        <w:spacing w:before="120" w:beforeAutospacing="0" w:after="120" w:afterAutospacing="0"/>
        <w:ind w:left="-87" w:leftChars="0" w:firstLine="567" w:firstLineChars="0"/>
        <w:jc w:val="both"/>
        <w:textAlignment w:val="baseline"/>
        <w:rPr>
          <w:sz w:val="21"/>
          <w:szCs w:val="21"/>
        </w:rPr>
      </w:pPr>
      <w:r>
        <w:rPr>
          <w:sz w:val="21"/>
          <w:szCs w:val="21"/>
        </w:rPr>
        <w:t xml:space="preserve">Nos </w:t>
      </w:r>
      <w:r>
        <w:rPr>
          <w:color w:val="000000"/>
          <w:sz w:val="21"/>
          <w:szCs w:val="21"/>
        </w:rPr>
        <w:t>termos</w:t>
      </w:r>
      <w:r>
        <w:rPr>
          <w:sz w:val="21"/>
          <w:szCs w:val="21"/>
        </w:rPr>
        <w:t xml:space="preserve"> do </w:t>
      </w:r>
      <w:r>
        <w:rPr>
          <w:sz w:val="21"/>
          <w:szCs w:val="21"/>
        </w:rPr>
        <w:fldChar w:fldCharType="begin"/>
      </w:r>
      <w:r>
        <w:rPr>
          <w:rStyle w:val="62"/>
          <w:sz w:val="21"/>
          <w:szCs w:val="21"/>
        </w:rPr>
        <w:instrText xml:space="preserve"> HYPERLINK "https://www.planalto.gov.br/ccivil_03/_ato2019-2022/2021/lei/l14133.htm" \l "art71"</w:instrText>
      </w:r>
      <w:r>
        <w:rPr>
          <w:rStyle w:val="62"/>
          <w:sz w:val="21"/>
          <w:szCs w:val="21"/>
        </w:rPr>
        <w:fldChar w:fldCharType="separate"/>
      </w:r>
      <w:r>
        <w:rPr>
          <w:rStyle w:val="62"/>
          <w:sz w:val="21"/>
          <w:szCs w:val="21"/>
        </w:rPr>
        <w:t>art. 71 da Lei Federal nº 14.133, de 2021</w:t>
      </w:r>
      <w:r>
        <w:rPr>
          <w:rStyle w:val="62"/>
          <w:sz w:val="21"/>
          <w:szCs w:val="21"/>
        </w:rPr>
        <w:fldChar w:fldCharType="end"/>
      </w:r>
      <w:r>
        <w:rPr>
          <w:sz w:val="21"/>
          <w:szCs w:val="21"/>
        </w:rPr>
        <w:t>, encerradas as fases de julgamento e habilitação, e exauridos os recursos administrativos, o processo licitatório será encaminhado à autoridade superior, que poderá:</w:t>
      </w:r>
    </w:p>
    <w:p w14:paraId="3ADFCAF9">
      <w:pPr>
        <w:pStyle w:val="50"/>
        <w:numPr>
          <w:ilvl w:val="2"/>
          <w:numId w:val="10"/>
        </w:numPr>
        <w:tabs>
          <w:tab w:val="left" w:pos="1134"/>
        </w:tabs>
        <w:spacing w:before="120" w:after="0"/>
        <w:rPr>
          <w:rFonts w:ascii="Times New Roman" w:hAnsi="Times New Roman"/>
          <w:sz w:val="21"/>
          <w:szCs w:val="21"/>
        </w:rPr>
      </w:pPr>
      <w:r>
        <w:rPr>
          <w:sz w:val="21"/>
          <w:szCs w:val="21"/>
        </w:rPr>
        <w:t>determinar o retorno dos autos para saneamento de irregularidades;</w:t>
      </w:r>
    </w:p>
    <w:p w14:paraId="6A7E71D7">
      <w:pPr>
        <w:pStyle w:val="50"/>
        <w:numPr>
          <w:ilvl w:val="2"/>
          <w:numId w:val="10"/>
        </w:numPr>
        <w:tabs>
          <w:tab w:val="left" w:pos="1134"/>
        </w:tabs>
        <w:spacing w:before="0" w:after="0"/>
        <w:rPr>
          <w:rFonts w:ascii="Times New Roman" w:hAnsi="Times New Roman"/>
          <w:sz w:val="21"/>
          <w:szCs w:val="21"/>
        </w:rPr>
      </w:pPr>
      <w:r>
        <w:rPr>
          <w:sz w:val="21"/>
          <w:szCs w:val="21"/>
        </w:rPr>
        <w:t>revogar a licitação por motivo de conveniência e oportunidade;</w:t>
      </w:r>
    </w:p>
    <w:p w14:paraId="3F819986">
      <w:pPr>
        <w:pStyle w:val="50"/>
        <w:numPr>
          <w:ilvl w:val="2"/>
          <w:numId w:val="10"/>
        </w:numPr>
        <w:tabs>
          <w:tab w:val="left" w:pos="1134"/>
        </w:tabs>
        <w:spacing w:before="0" w:after="0"/>
        <w:rPr>
          <w:rFonts w:ascii="Times New Roman" w:hAnsi="Times New Roman"/>
          <w:sz w:val="21"/>
          <w:szCs w:val="21"/>
        </w:rPr>
      </w:pPr>
      <w:r>
        <w:rPr>
          <w:sz w:val="21"/>
          <w:szCs w:val="21"/>
        </w:rPr>
        <w:t>proceder à anulação da licitação, de ofício ou mediante provocação de terceiros, sempre que presente ilegalidade insanável;</w:t>
      </w:r>
    </w:p>
    <w:p w14:paraId="6D76B878">
      <w:pPr>
        <w:pStyle w:val="50"/>
        <w:numPr>
          <w:ilvl w:val="2"/>
          <w:numId w:val="10"/>
        </w:numPr>
        <w:tabs>
          <w:tab w:val="left" w:pos="1134"/>
        </w:tabs>
        <w:spacing w:before="0" w:after="120"/>
        <w:rPr>
          <w:rFonts w:ascii="Times New Roman" w:hAnsi="Times New Roman"/>
          <w:sz w:val="21"/>
          <w:szCs w:val="21"/>
        </w:rPr>
      </w:pPr>
      <w:r>
        <w:rPr>
          <w:sz w:val="21"/>
          <w:szCs w:val="21"/>
        </w:rPr>
        <w:t>adjudicar o objeto e homologar a licitação.</w:t>
      </w:r>
    </w:p>
    <w:p w14:paraId="11EDAE50">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sz w:val="21"/>
          <w:szCs w:val="21"/>
        </w:rPr>
        <w:t xml:space="preserve">Ao </w:t>
      </w:r>
      <w:r>
        <w:rPr>
          <w:color w:val="000000"/>
          <w:sz w:val="21"/>
          <w:szCs w:val="21"/>
        </w:rPr>
        <w:t>pronunciar</w:t>
      </w:r>
      <w:r>
        <w:rPr>
          <w:sz w:val="21"/>
          <w:szCs w:val="21"/>
        </w:rPr>
        <w:t xml:space="preserve"> a nulidade, a autoridade indicará expressamente os atos com vícios insanáveis, tornando sem efeito todos os subsequentes que deles dependam, e dará ensejo à apuração de responsabilidade de quem lhes tenha dado causa (</w:t>
      </w:r>
      <w:r>
        <w:rPr>
          <w:sz w:val="21"/>
          <w:szCs w:val="21"/>
        </w:rPr>
        <w:fldChar w:fldCharType="begin"/>
      </w:r>
      <w:r>
        <w:rPr>
          <w:rStyle w:val="62"/>
          <w:sz w:val="21"/>
          <w:szCs w:val="21"/>
        </w:rPr>
        <w:instrText xml:space="preserve"> HYPERLINK "https://www.planalto.gov.br/ccivil_03/_ato2019-2022/2021/lei/l14133.htm" \l "art71"</w:instrText>
      </w:r>
      <w:r>
        <w:rPr>
          <w:rStyle w:val="62"/>
          <w:sz w:val="21"/>
          <w:szCs w:val="21"/>
        </w:rPr>
        <w:fldChar w:fldCharType="separate"/>
      </w:r>
      <w:r>
        <w:rPr>
          <w:rStyle w:val="62"/>
          <w:sz w:val="21"/>
          <w:szCs w:val="21"/>
        </w:rPr>
        <w:t>art. 71, §1º, da Lei Federal nº 14.133, de 2021</w:t>
      </w:r>
      <w:r>
        <w:rPr>
          <w:rStyle w:val="62"/>
          <w:sz w:val="21"/>
          <w:szCs w:val="21"/>
        </w:rPr>
        <w:fldChar w:fldCharType="end"/>
      </w:r>
      <w:r>
        <w:rPr>
          <w:sz w:val="21"/>
          <w:szCs w:val="21"/>
        </w:rPr>
        <w:t>).</w:t>
      </w:r>
    </w:p>
    <w:p w14:paraId="14A33BF8">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O motivo determinante para a revogação do processo licitatório deverá ser resultante de fato superveniente devidamente comprovado (</w:t>
      </w:r>
      <w:r>
        <w:rPr>
          <w:sz w:val="21"/>
          <w:szCs w:val="21"/>
        </w:rPr>
        <w:fldChar w:fldCharType="begin"/>
      </w:r>
      <w:r>
        <w:rPr>
          <w:rStyle w:val="62"/>
          <w:sz w:val="21"/>
          <w:szCs w:val="21"/>
        </w:rPr>
        <w:instrText xml:space="preserve"> HYPERLINK "https://www.planalto.gov.br/ccivil_03/_ato2019-2022/2021/lei/l14133.htm" \l "art71"</w:instrText>
      </w:r>
      <w:r>
        <w:rPr>
          <w:rStyle w:val="62"/>
          <w:sz w:val="21"/>
          <w:szCs w:val="21"/>
        </w:rPr>
        <w:fldChar w:fldCharType="separate"/>
      </w:r>
      <w:r>
        <w:rPr>
          <w:rStyle w:val="62"/>
          <w:sz w:val="21"/>
          <w:szCs w:val="21"/>
        </w:rPr>
        <w:t>art. 71, §2º, da Lei Federal nº 14.133, de 2021</w:t>
      </w:r>
      <w:r>
        <w:rPr>
          <w:rStyle w:val="62"/>
          <w:sz w:val="21"/>
          <w:szCs w:val="21"/>
        </w:rPr>
        <w:fldChar w:fldCharType="end"/>
      </w:r>
      <w:r>
        <w:rPr>
          <w:sz w:val="21"/>
          <w:szCs w:val="21"/>
        </w:rPr>
        <w:t>).</w:t>
      </w:r>
    </w:p>
    <w:p w14:paraId="5EA42C0C">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Nos casos de anulação e revogação, será assegurada a prévia manifestação dos interessados (</w:t>
      </w:r>
      <w:r>
        <w:rPr>
          <w:sz w:val="21"/>
          <w:szCs w:val="21"/>
        </w:rPr>
        <w:fldChar w:fldCharType="begin"/>
      </w:r>
      <w:r>
        <w:rPr>
          <w:rStyle w:val="62"/>
          <w:sz w:val="21"/>
          <w:szCs w:val="21"/>
        </w:rPr>
        <w:instrText xml:space="preserve"> HYPERLINK "https://www.planalto.gov.br/ccivil_03/_ato2019-2022/2021/lei/l14133.htm" \l "art71"</w:instrText>
      </w:r>
      <w:r>
        <w:rPr>
          <w:rStyle w:val="62"/>
          <w:sz w:val="21"/>
          <w:szCs w:val="21"/>
        </w:rPr>
        <w:fldChar w:fldCharType="separate"/>
      </w:r>
      <w:r>
        <w:rPr>
          <w:rStyle w:val="62"/>
          <w:sz w:val="21"/>
          <w:szCs w:val="21"/>
        </w:rPr>
        <w:t>art. 71, §3º, da Lei Federal nº 14.133, de 2021</w:t>
      </w:r>
      <w:r>
        <w:rPr>
          <w:rStyle w:val="62"/>
          <w:sz w:val="21"/>
          <w:szCs w:val="21"/>
        </w:rPr>
        <w:fldChar w:fldCharType="end"/>
      </w:r>
      <w:r>
        <w:rPr>
          <w:sz w:val="21"/>
          <w:szCs w:val="21"/>
        </w:rPr>
        <w:t>).</w:t>
      </w:r>
    </w:p>
    <w:p w14:paraId="2B9DE6EE">
      <w:pPr>
        <w:pStyle w:val="2"/>
        <w:spacing w:before="360" w:after="0"/>
        <w:rPr>
          <w:sz w:val="21"/>
          <w:szCs w:val="21"/>
        </w:rPr>
      </w:pPr>
      <w:bookmarkStart w:id="45" w:name="_Toc149517458"/>
      <w:bookmarkStart w:id="46" w:name="_Toc144196064"/>
      <w:r>
        <w:rPr>
          <w:rStyle w:val="53"/>
          <w:sz w:val="21"/>
          <w:szCs w:val="21"/>
        </w:rPr>
        <w:t>REGISTRO DE PREÇOS</w:t>
      </w:r>
      <w:bookmarkEnd w:id="45"/>
      <w:bookmarkEnd w:id="46"/>
    </w:p>
    <w:p w14:paraId="64A80A3C">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sz w:val="21"/>
          <w:szCs w:val="21"/>
        </w:rPr>
        <w:t>Homologado o resultado da licitação, respeitada a ordem de classificação e a quantidade de fornecedores a serem registrados, convocará os particulares para assinatura da Ata de Registro de Preços - ARP (Anexo IV), no prazo de 5 (cinco) dias úteis, a qual se constitui em compromisso formal de fornecimento nas condições estabelecidas.</w:t>
      </w:r>
    </w:p>
    <w:p w14:paraId="7116BC1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O prazo de convocação poderá ser prorrogado uma vez, por igual período, mediante solicitação do licitante mais bem classificado ou do fornecedor convocado, desde que:</w:t>
      </w:r>
    </w:p>
    <w:p w14:paraId="52D4C04D">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a solicitação seja devidamente justificada e apresentada dentro do prazo; e</w:t>
      </w:r>
    </w:p>
    <w:p w14:paraId="051B2388">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a justificativa apresentada seja aceita pela Administração.</w:t>
      </w:r>
    </w:p>
    <w:p w14:paraId="7CCF1AD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A ata de registro de preços será assinada por meio de assinatura digital e disponibilizada no sistema de registro de preços.</w:t>
      </w:r>
    </w:p>
    <w:p w14:paraId="70FE6F3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 sem prejuízo da aplicação da(s) penalidade(s) do </w:t>
      </w:r>
      <w:r>
        <w:rPr>
          <w:sz w:val="21"/>
          <w:szCs w:val="21"/>
        </w:rPr>
        <w:fldChar w:fldCharType="begin"/>
      </w:r>
      <w:r>
        <w:rPr>
          <w:rStyle w:val="62"/>
          <w:sz w:val="21"/>
          <w:szCs w:val="21"/>
        </w:rPr>
        <w:instrText xml:space="preserve"> HYPERLINK "https://www.planalto.gov.br/ccivil_03/_ato2019-2022/2021/lei/l14133.htm" \l "art156"</w:instrText>
      </w:r>
      <w:r>
        <w:rPr>
          <w:rStyle w:val="62"/>
          <w:sz w:val="21"/>
          <w:szCs w:val="21"/>
        </w:rPr>
        <w:fldChar w:fldCharType="separate"/>
      </w:r>
      <w:r>
        <w:rPr>
          <w:rStyle w:val="62"/>
          <w:sz w:val="21"/>
          <w:szCs w:val="21"/>
        </w:rPr>
        <w:t>art. 156 da Lei Federal nº 14.133, de 2021</w:t>
      </w:r>
      <w:r>
        <w:rPr>
          <w:rStyle w:val="62"/>
          <w:sz w:val="21"/>
          <w:szCs w:val="21"/>
        </w:rPr>
        <w:fldChar w:fldCharType="end"/>
      </w:r>
      <w:r>
        <w:rPr>
          <w:sz w:val="21"/>
          <w:szCs w:val="21"/>
        </w:rPr>
        <w:t>.</w:t>
      </w:r>
    </w:p>
    <w:p w14:paraId="48175292">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31FA53D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O preço registrado, com a indicação dos fornecedores, será divulgado no PNCP (</w:t>
      </w:r>
      <w:r>
        <w:rPr>
          <w:sz w:val="21"/>
          <w:szCs w:val="21"/>
        </w:rPr>
        <w:fldChar w:fldCharType="begin"/>
      </w:r>
      <w:r>
        <w:rPr>
          <w:sz w:val="21"/>
          <w:szCs w:val="21"/>
        </w:rPr>
        <w:instrText xml:space="preserve"> HYPERLINK "https://pncp.gov.br/" \h </w:instrText>
      </w:r>
      <w:r>
        <w:rPr>
          <w:sz w:val="21"/>
          <w:szCs w:val="21"/>
        </w:rPr>
        <w:fldChar w:fldCharType="separate"/>
      </w:r>
      <w:r>
        <w:rPr>
          <w:rStyle w:val="62"/>
          <w:sz w:val="21"/>
          <w:szCs w:val="21"/>
        </w:rPr>
        <w:t>https://pncp.gov.br/</w:t>
      </w:r>
      <w:r>
        <w:rPr>
          <w:rStyle w:val="62"/>
          <w:sz w:val="21"/>
          <w:szCs w:val="21"/>
        </w:rPr>
        <w:fldChar w:fldCharType="end"/>
      </w:r>
      <w:r>
        <w:rPr>
          <w:sz w:val="21"/>
          <w:szCs w:val="21"/>
        </w:rPr>
        <w:t>) e disponibilizado durante a vigência da ata de registro de preços.</w:t>
      </w:r>
    </w:p>
    <w:p w14:paraId="01FF23D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A existência de preços registrados implicará compromisso de fornecimento nas condições estabelecidas, mas não obrigará a Administração a contratar, facultada a realização de licitação específica para a aquisição pretendida, desde que devidamente justificada, sendo assegurada ao beneficiário do registro a preferência de fornecimento em igualdade de condições.</w:t>
      </w:r>
    </w:p>
    <w:p w14:paraId="47EFF31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A Ata de Registro de Preços - ARP terá validade de 1 (um) ano, podendo ser prorrogada por igual período, desde que comprovado o preço vantajoso, limitada a 2 (dois) anos.</w:t>
      </w:r>
    </w:p>
    <w:p w14:paraId="754F81C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Em caso de prorrogação, será garantido o REAJUSTE previsto no item </w:t>
      </w:r>
      <w:r>
        <w:rPr>
          <w:sz w:val="21"/>
          <w:szCs w:val="21"/>
        </w:rPr>
        <w:fldChar w:fldCharType="begin"/>
      </w:r>
      <w:r>
        <w:rPr>
          <w:sz w:val="21"/>
          <w:szCs w:val="21"/>
        </w:rPr>
        <w:instrText xml:space="preserve"> HYPERLINK \l "_REAJUSTE_(art._92," \h </w:instrText>
      </w:r>
      <w:r>
        <w:rPr>
          <w:sz w:val="21"/>
          <w:szCs w:val="21"/>
        </w:rPr>
        <w:fldChar w:fldCharType="separate"/>
      </w:r>
      <w:r>
        <w:rPr>
          <w:rStyle w:val="62"/>
          <w:sz w:val="21"/>
          <w:szCs w:val="21"/>
        </w:rPr>
        <w:t>“37 - REAJUSTE”</w:t>
      </w:r>
      <w:r>
        <w:rPr>
          <w:rStyle w:val="62"/>
          <w:sz w:val="21"/>
          <w:szCs w:val="21"/>
        </w:rPr>
        <w:fldChar w:fldCharType="end"/>
      </w:r>
      <w:r>
        <w:rPr>
          <w:sz w:val="21"/>
          <w:szCs w:val="21"/>
        </w:rPr>
        <w:t>.</w:t>
      </w:r>
    </w:p>
    <w:p w14:paraId="65480EA3">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Não serão aceitas propostas para registros de preços com indicação de quantidades inferiores àquelas previstas em cada item do objeto da presente licitação, como também não serão permitidos registros de mais de um preço por cada item do objeto.</w:t>
      </w:r>
    </w:p>
    <w:p w14:paraId="71E28B1D">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w:t>
      </w:r>
      <w:r>
        <w:rPr>
          <w:sz w:val="21"/>
          <w:szCs w:val="21"/>
        </w:rPr>
        <w:fldChar w:fldCharType="begin"/>
      </w:r>
      <w:r>
        <w:rPr>
          <w:rStyle w:val="62"/>
          <w:sz w:val="21"/>
          <w:szCs w:val="21"/>
        </w:rPr>
        <w:instrText xml:space="preserve"> HYPERLINK "https://www.planalto.gov.br/ccivil_03/_ato2019-2022/2021/lei/l14133.htm" \l "art86"</w:instrText>
      </w:r>
      <w:r>
        <w:rPr>
          <w:rStyle w:val="62"/>
          <w:sz w:val="21"/>
          <w:szCs w:val="21"/>
        </w:rPr>
        <w:fldChar w:fldCharType="separate"/>
      </w:r>
      <w:r>
        <w:rPr>
          <w:rStyle w:val="62"/>
          <w:sz w:val="21"/>
          <w:szCs w:val="21"/>
        </w:rPr>
        <w:t>art. 86, § 4º, da Lei Federal nº 14.133, de 2021</w:t>
      </w:r>
      <w:r>
        <w:rPr>
          <w:rStyle w:val="62"/>
          <w:sz w:val="21"/>
          <w:szCs w:val="21"/>
        </w:rPr>
        <w:fldChar w:fldCharType="end"/>
      </w:r>
      <w:r>
        <w:rPr>
          <w:sz w:val="21"/>
          <w:szCs w:val="21"/>
        </w:rPr>
        <w:t>).</w:t>
      </w:r>
    </w:p>
    <w:p w14:paraId="40F39B9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w:t>
      </w:r>
      <w:r>
        <w:rPr>
          <w:sz w:val="21"/>
          <w:szCs w:val="21"/>
        </w:rPr>
        <w:fldChar w:fldCharType="begin"/>
      </w:r>
      <w:r>
        <w:rPr>
          <w:rStyle w:val="62"/>
          <w:sz w:val="21"/>
          <w:szCs w:val="21"/>
        </w:rPr>
        <w:instrText xml:space="preserve"> HYPERLINK "https://www.planalto.gov.br/ccivil_03/_ato2019-2022/2021/lei/l14133.htm" \l "art86"</w:instrText>
      </w:r>
      <w:r>
        <w:rPr>
          <w:rStyle w:val="62"/>
          <w:sz w:val="21"/>
          <w:szCs w:val="21"/>
        </w:rPr>
        <w:fldChar w:fldCharType="separate"/>
      </w:r>
      <w:r>
        <w:rPr>
          <w:rStyle w:val="62"/>
          <w:sz w:val="21"/>
          <w:szCs w:val="21"/>
        </w:rPr>
        <w:t>art. 86, § 5º, da Lei Federal nº 14.133, de 2021</w:t>
      </w:r>
      <w:r>
        <w:rPr>
          <w:rStyle w:val="62"/>
          <w:sz w:val="21"/>
          <w:szCs w:val="21"/>
        </w:rPr>
        <w:fldChar w:fldCharType="end"/>
      </w:r>
      <w:r>
        <w:rPr>
          <w:sz w:val="21"/>
          <w:szCs w:val="21"/>
        </w:rPr>
        <w:t>).</w:t>
      </w:r>
    </w:p>
    <w:p w14:paraId="6D837088">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É expressamente proibida a participação de órgão ou entidade pública que já participe de outro SRP em andamento, ou integre outra ARP, com objetos semelhantes ao do presente SRP (</w:t>
      </w:r>
      <w:r>
        <w:rPr>
          <w:sz w:val="21"/>
          <w:szCs w:val="21"/>
        </w:rPr>
        <w:fldChar w:fldCharType="begin"/>
      </w:r>
      <w:r>
        <w:rPr>
          <w:rStyle w:val="62"/>
          <w:sz w:val="21"/>
          <w:szCs w:val="21"/>
        </w:rPr>
        <w:instrText xml:space="preserve"> HYPERLINK "https://www.planalto.gov.br/ccivil_03/_ato2019-2022/2021/lei/l14133.htm" \l "art82"</w:instrText>
      </w:r>
      <w:r>
        <w:rPr>
          <w:rStyle w:val="62"/>
          <w:sz w:val="21"/>
          <w:szCs w:val="21"/>
        </w:rPr>
        <w:fldChar w:fldCharType="separate"/>
      </w:r>
      <w:r>
        <w:rPr>
          <w:rStyle w:val="62"/>
          <w:sz w:val="21"/>
          <w:szCs w:val="21"/>
        </w:rPr>
        <w:t>art. 82, VIII, da Lei Federal nº 14.133, de 2021</w:t>
      </w:r>
      <w:r>
        <w:rPr>
          <w:rStyle w:val="62"/>
          <w:sz w:val="21"/>
          <w:szCs w:val="21"/>
        </w:rPr>
        <w:fldChar w:fldCharType="end"/>
      </w:r>
      <w:r>
        <w:rPr>
          <w:sz w:val="21"/>
          <w:szCs w:val="21"/>
        </w:rPr>
        <w:t>).</w:t>
      </w:r>
    </w:p>
    <w:p w14:paraId="339A4B1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Não poderá haver acréscimo(s) no(s) quantitativo(s) registrado(s) na ARP.</w:t>
      </w:r>
    </w:p>
    <w:p w14:paraId="688ED7A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Caberá à </w:t>
      </w:r>
      <w:r>
        <w:rPr>
          <w:color w:val="000000"/>
          <w:sz w:val="21"/>
          <w:szCs w:val="21"/>
        </w:rPr>
        <w:t>Câmara Municipal de Primavera do Leste - MT</w:t>
      </w:r>
      <w:r>
        <w:rPr>
          <w:sz w:val="21"/>
          <w:szCs w:val="21"/>
        </w:rPr>
        <w:t xml:space="preserve"> o gerenciamento e controle da ARP no seu próprio interesse, como também a formalização, gestão e fiscalização de suas próprias contratações, observadas as atribuições e competências indicadas na Minuta da ARP (</w:t>
      </w:r>
      <w:r>
        <w:rPr>
          <w:sz w:val="21"/>
          <w:szCs w:val="21"/>
        </w:rPr>
        <w:fldChar w:fldCharType="begin"/>
      </w:r>
      <w:r>
        <w:rPr>
          <w:sz w:val="21"/>
          <w:szCs w:val="21"/>
        </w:rPr>
        <w:instrText xml:space="preserve"> HYPERLINK \l "_ANEXO_IV_-" \h </w:instrText>
      </w:r>
      <w:r>
        <w:rPr>
          <w:sz w:val="21"/>
          <w:szCs w:val="21"/>
        </w:rPr>
        <w:fldChar w:fldCharType="separate"/>
      </w:r>
      <w:r>
        <w:rPr>
          <w:rStyle w:val="62"/>
          <w:sz w:val="21"/>
          <w:szCs w:val="21"/>
        </w:rPr>
        <w:t>Anexo IV</w:t>
      </w:r>
      <w:r>
        <w:rPr>
          <w:rStyle w:val="62"/>
          <w:sz w:val="21"/>
          <w:szCs w:val="21"/>
        </w:rPr>
        <w:fldChar w:fldCharType="end"/>
      </w:r>
      <w:r>
        <w:rPr>
          <w:sz w:val="21"/>
          <w:szCs w:val="21"/>
        </w:rPr>
        <w:t>).</w:t>
      </w:r>
    </w:p>
    <w:p w14:paraId="77774CA7">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O Particular, titular do Registro de Preços, obriga-se a cumprir integralmente as obrigações contidas na ARP, salvo quando houver cancelamento ou rescisão do registro, submetendo-se às sanções administrativas previstas no item </w:t>
      </w:r>
      <w:r>
        <w:rPr>
          <w:sz w:val="21"/>
          <w:szCs w:val="21"/>
        </w:rPr>
        <w:fldChar w:fldCharType="begin"/>
      </w:r>
      <w:r>
        <w:rPr>
          <w:sz w:val="21"/>
          <w:szCs w:val="21"/>
        </w:rPr>
        <w:instrText xml:space="preserve"> HYPERLINK \l "_SANÇÕES_ADMINISTRATIVAS" \h </w:instrText>
      </w:r>
      <w:r>
        <w:rPr>
          <w:sz w:val="21"/>
          <w:szCs w:val="21"/>
        </w:rPr>
        <w:fldChar w:fldCharType="separate"/>
      </w:r>
      <w:r>
        <w:rPr>
          <w:rStyle w:val="62"/>
          <w:sz w:val="21"/>
          <w:szCs w:val="21"/>
        </w:rPr>
        <w:t>“38 - SANÇÕES ADMINISTRATIVAS”</w:t>
      </w:r>
      <w:r>
        <w:rPr>
          <w:rStyle w:val="62"/>
          <w:sz w:val="21"/>
          <w:szCs w:val="21"/>
        </w:rPr>
        <w:fldChar w:fldCharType="end"/>
      </w:r>
      <w:r>
        <w:rPr>
          <w:sz w:val="21"/>
          <w:szCs w:val="21"/>
        </w:rPr>
        <w:t xml:space="preserve"> em caso de inadimplência, observado o devido processo legal.</w:t>
      </w:r>
    </w:p>
    <w:p w14:paraId="7CB83E60">
      <w:pPr>
        <w:pStyle w:val="2"/>
        <w:spacing w:before="360" w:after="0"/>
        <w:rPr>
          <w:sz w:val="21"/>
          <w:szCs w:val="21"/>
        </w:rPr>
      </w:pPr>
      <w:bookmarkStart w:id="47" w:name="_Toc149517459"/>
      <w:bookmarkStart w:id="48" w:name="_Toc144196065"/>
      <w:r>
        <w:rPr>
          <w:rStyle w:val="53"/>
          <w:sz w:val="21"/>
          <w:szCs w:val="21"/>
        </w:rPr>
        <w:t>FORMAÇÃO DO CADASTRO DE RESERVA</w:t>
      </w:r>
      <w:bookmarkEnd w:id="47"/>
      <w:bookmarkEnd w:id="48"/>
    </w:p>
    <w:p w14:paraId="122D0DCA">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sz w:val="21"/>
          <w:szCs w:val="21"/>
        </w:rPr>
        <w:t>Após a homologação da licitação, será incluído na ata, na forma de anexo, o registro:</w:t>
      </w:r>
    </w:p>
    <w:p w14:paraId="44FD1F92">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 xml:space="preserve">dos licitantes </w:t>
      </w:r>
      <w:bookmarkStart w:id="49" w:name="_Hlk132991372"/>
      <w:r>
        <w:rPr>
          <w:sz w:val="21"/>
          <w:szCs w:val="21"/>
        </w:rPr>
        <w:t xml:space="preserve">que </w:t>
      </w:r>
      <w:bookmarkStart w:id="50" w:name="_Hlk132989696"/>
      <w:r>
        <w:rPr>
          <w:sz w:val="21"/>
          <w:szCs w:val="21"/>
        </w:rPr>
        <w:t>aceitarem cotar o objeto com preço igual ao do adjudicatári</w:t>
      </w:r>
      <w:bookmarkEnd w:id="49"/>
      <w:r>
        <w:rPr>
          <w:sz w:val="21"/>
          <w:szCs w:val="21"/>
        </w:rPr>
        <w:t>o</w:t>
      </w:r>
      <w:bookmarkEnd w:id="50"/>
      <w:r>
        <w:rPr>
          <w:sz w:val="21"/>
          <w:szCs w:val="21"/>
        </w:rPr>
        <w:t xml:space="preserve">, observada a classificação na licitação; e </w:t>
      </w:r>
    </w:p>
    <w:p w14:paraId="41484EDD">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dos licitantes que mantiverem sua proposta original</w:t>
      </w:r>
    </w:p>
    <w:p w14:paraId="021B3BD8">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Será respeitada, nas contratações, a ordem de classificação dos licitantes ou fornecedores registrados na ata.</w:t>
      </w:r>
    </w:p>
    <w:p w14:paraId="7EB3D64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A apresentação de novas propostas na forma deste item não prejudicará o resultado do certame em relação ao licitante mais bem classificado.</w:t>
      </w:r>
    </w:p>
    <w:p w14:paraId="01BDF64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Para fins da ordem de classificação, os licitantes ou fornecedores que aceitarem cotar o objeto com preço igual ao do adjudicatário antecederão aqueles que mantiverem sua proposta original.</w:t>
      </w:r>
    </w:p>
    <w:p w14:paraId="7AAB9FF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 xml:space="preserve"> A habilitação dos licitantes que comporão o cadastro de reserva será efetuada quando houver necessidade de contratação dos licitantes remanescentes, nas seguintes hipóteses:</w:t>
      </w:r>
    </w:p>
    <w:p w14:paraId="1E66FD5D">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quando o licitante vencedor não assinar a ata de registro de preços no prazo e nas condições estabelecidos no edital; ou</w:t>
      </w:r>
    </w:p>
    <w:p w14:paraId="2D0F38AC">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quando houver o cancelamento do registro do fornecedor ou do registro de preços.</w:t>
      </w:r>
    </w:p>
    <w:p w14:paraId="030E889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31C500E2">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convocar os licitantes que mantiveram sua proposta original para negociação, na ordem de classificação, com vistas à obtenção de preço melhor, mesmo que acima do preço do adjudicatário; ou</w:t>
      </w:r>
    </w:p>
    <w:p w14:paraId="2C2ECA8D">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r>
        <w:rPr>
          <w:sz w:val="21"/>
          <w:szCs w:val="21"/>
        </w:rPr>
        <w:t>adjudicar e firmar o contrato nas condições ofertadas pelos licitantes remanescentes, observada a ordem de classificação, quando frustrada a negociação de melhor condição.</w:t>
      </w:r>
    </w:p>
    <w:p w14:paraId="4A44A614">
      <w:pPr>
        <w:pStyle w:val="2"/>
        <w:spacing w:before="360" w:after="0"/>
        <w:rPr>
          <w:sz w:val="21"/>
          <w:szCs w:val="21"/>
        </w:rPr>
      </w:pPr>
      <w:bookmarkStart w:id="51" w:name="_Toc149517460"/>
      <w:r>
        <w:rPr>
          <w:rStyle w:val="53"/>
          <w:sz w:val="21"/>
          <w:szCs w:val="21"/>
        </w:rPr>
        <w:t>CONTRATAÇÃO</w:t>
      </w:r>
      <w:bookmarkEnd w:id="51"/>
      <w:r>
        <w:rPr>
          <w:rStyle w:val="53"/>
          <w:sz w:val="21"/>
          <w:szCs w:val="21"/>
        </w:rPr>
        <w:t> </w:t>
      </w:r>
    </w:p>
    <w:p w14:paraId="226554B7">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Previamente à contratação serão consultados os documentos de habilitação da empresa beneficiária da ARP, que deverão ser mantidas pelo licitante durante</w:t>
      </w:r>
      <w:r>
        <w:rPr>
          <w:color w:val="000000"/>
          <w:sz w:val="21"/>
          <w:szCs w:val="21"/>
        </w:rPr>
        <w:br w:type="textWrapping"/>
      </w:r>
      <w:r>
        <w:rPr>
          <w:color w:val="000000"/>
          <w:sz w:val="21"/>
          <w:szCs w:val="21"/>
        </w:rPr>
        <w:t>a vigência do contrato ou da ata de registro de preços, assim como serão verificadas as ocorrências impeditivas indiretas.</w:t>
      </w:r>
    </w:p>
    <w:p w14:paraId="009D9C1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Na hipótese de irregularidades na habilitação, a empresa beneficiária da ARP deverá regularizar a sua situação no prazo de até 05 (cinco) dias úteis, sob</w:t>
      </w:r>
      <w:r>
        <w:rPr>
          <w:color w:val="000000"/>
          <w:sz w:val="21"/>
          <w:szCs w:val="21"/>
        </w:rPr>
        <w:br w:type="textWrapping"/>
      </w:r>
      <w:r>
        <w:rPr>
          <w:color w:val="000000"/>
          <w:sz w:val="21"/>
          <w:szCs w:val="21"/>
        </w:rPr>
        <w:t xml:space="preserve">pena de aplicação das penalidades previstas na cláusula </w:t>
      </w:r>
      <w:r>
        <w:rPr>
          <w:sz w:val="21"/>
          <w:szCs w:val="21"/>
        </w:rPr>
        <w:fldChar w:fldCharType="begin"/>
      </w:r>
      <w:r>
        <w:rPr>
          <w:sz w:val="21"/>
          <w:szCs w:val="21"/>
        </w:rPr>
        <w:instrText xml:space="preserve"> HYPERLINK \l "_SANÇÕES_ADMINISTRATIVAS" \h </w:instrText>
      </w:r>
      <w:r>
        <w:rPr>
          <w:sz w:val="21"/>
          <w:szCs w:val="21"/>
        </w:rPr>
        <w:fldChar w:fldCharType="separate"/>
      </w:r>
      <w:r>
        <w:rPr>
          <w:rStyle w:val="62"/>
          <w:sz w:val="21"/>
          <w:szCs w:val="21"/>
        </w:rPr>
        <w:t>“41 - SANÇÕES ADMINISTRATIVAS”</w:t>
      </w:r>
      <w:r>
        <w:rPr>
          <w:rStyle w:val="62"/>
          <w:sz w:val="21"/>
          <w:szCs w:val="21"/>
        </w:rPr>
        <w:fldChar w:fldCharType="end"/>
      </w:r>
      <w:r>
        <w:rPr>
          <w:color w:val="000000"/>
          <w:sz w:val="21"/>
          <w:szCs w:val="21"/>
        </w:rPr>
        <w:t>.</w:t>
      </w:r>
    </w:p>
    <w:p w14:paraId="5B31D233">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shd w:val="clear" w:fill="auto"/>
        </w:rPr>
        <w:t xml:space="preserve">Como </w:t>
      </w:r>
      <w:r>
        <w:rPr>
          <w:sz w:val="21"/>
          <w:szCs w:val="21"/>
          <w:shd w:val="clear" w:fill="auto"/>
        </w:rPr>
        <w:t>condição</w:t>
      </w:r>
      <w:r>
        <w:rPr>
          <w:color w:val="000000"/>
          <w:sz w:val="21"/>
          <w:szCs w:val="21"/>
          <w:shd w:val="clear" w:fill="auto"/>
        </w:rPr>
        <w:t xml:space="preserve"> para a efetivação da contratação, a licitante adjudicatária deverá apresentar, no prazo de 2 (dois) dias úteis contados a partir da convocação, o seguinte documento, se for o caso, de declaração de que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VII da referida IN.</w:t>
      </w:r>
    </w:p>
    <w:p w14:paraId="007A0606">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Nos termos do </w:t>
      </w:r>
      <w:r>
        <w:rPr>
          <w:sz w:val="21"/>
          <w:szCs w:val="21"/>
        </w:rPr>
        <w:fldChar w:fldCharType="begin"/>
      </w:r>
      <w:r>
        <w:rPr>
          <w:rStyle w:val="62"/>
          <w:sz w:val="21"/>
          <w:szCs w:val="21"/>
        </w:rPr>
        <w:instrText xml:space="preserve"> HYPERLINK "https://www.planalto.gov.br/ccivil_03/_ato2019-2022/2021/lei/l14133.htm" \l "art95"</w:instrText>
      </w:r>
      <w:r>
        <w:rPr>
          <w:rStyle w:val="62"/>
          <w:sz w:val="21"/>
          <w:szCs w:val="21"/>
        </w:rPr>
        <w:fldChar w:fldCharType="separate"/>
      </w:r>
      <w:r>
        <w:rPr>
          <w:rStyle w:val="62"/>
          <w:sz w:val="21"/>
          <w:szCs w:val="21"/>
        </w:rPr>
        <w:t>art. 95, da Lei Federal nº 14.133, de 2021</w:t>
      </w:r>
      <w:r>
        <w:rPr>
          <w:rStyle w:val="62"/>
          <w:sz w:val="21"/>
          <w:szCs w:val="21"/>
        </w:rPr>
        <w:fldChar w:fldCharType="end"/>
      </w:r>
      <w:r>
        <w:rPr>
          <w:sz w:val="21"/>
          <w:szCs w:val="21"/>
        </w:rPr>
        <w:t xml:space="preserve">, o Instrumento de Contrato a ser assinado será conforme minuta constante no </w:t>
      </w:r>
      <w:r>
        <w:rPr>
          <w:sz w:val="21"/>
          <w:szCs w:val="21"/>
        </w:rPr>
        <w:fldChar w:fldCharType="begin"/>
      </w:r>
      <w:r>
        <w:rPr>
          <w:sz w:val="21"/>
          <w:szCs w:val="21"/>
        </w:rPr>
        <w:instrText xml:space="preserve"> HYPERLINK \l "_ANEXO_VII_-" \h </w:instrText>
      </w:r>
      <w:r>
        <w:rPr>
          <w:sz w:val="21"/>
          <w:szCs w:val="21"/>
        </w:rPr>
        <w:fldChar w:fldCharType="separate"/>
      </w:r>
      <w:r>
        <w:rPr>
          <w:rStyle w:val="62"/>
          <w:sz w:val="21"/>
          <w:szCs w:val="21"/>
        </w:rPr>
        <w:t>Anexo VII</w:t>
      </w:r>
      <w:r>
        <w:rPr>
          <w:rStyle w:val="62"/>
          <w:sz w:val="21"/>
          <w:szCs w:val="21"/>
        </w:rPr>
        <w:fldChar w:fldCharType="end"/>
      </w:r>
      <w:r>
        <w:rPr>
          <w:sz w:val="21"/>
          <w:szCs w:val="21"/>
        </w:rPr>
        <w:t>.</w:t>
      </w:r>
    </w:p>
    <w:p w14:paraId="62B02013">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Em caso de utilização da Ata de Registro de Preços, a Câmara Municipal de Primavera do Leste - MT enviará, por meio do correio eletrônico indicado na proposta, cópia do Instrumento de Contrato à futura contratada, devendo esta ser devolvida assinada digitalmente, sem qualquer modificação, em até 5 (cinco) dias úteis, sob pena de caracterização da conduta tipificada no </w:t>
      </w:r>
      <w:r>
        <w:rPr>
          <w:sz w:val="21"/>
          <w:szCs w:val="21"/>
        </w:rPr>
        <w:fldChar w:fldCharType="begin"/>
      </w:r>
      <w:r>
        <w:rPr>
          <w:rStyle w:val="62"/>
          <w:sz w:val="21"/>
          <w:szCs w:val="21"/>
        </w:rPr>
        <w:instrText xml:space="preserve"> HYPERLINK "https://www.planalto.gov.br/ccivil_03/_ato2019-2022/2021/lei/l14133.htm" \l "art155"</w:instrText>
      </w:r>
      <w:r>
        <w:rPr>
          <w:rStyle w:val="62"/>
          <w:sz w:val="21"/>
          <w:szCs w:val="21"/>
        </w:rPr>
        <w:fldChar w:fldCharType="separate"/>
      </w:r>
      <w:r>
        <w:rPr>
          <w:rStyle w:val="62"/>
          <w:sz w:val="21"/>
          <w:szCs w:val="21"/>
        </w:rPr>
        <w:t>art. 155, VI e/ou IX, da Lei Federal nº 14.133, de 2021</w:t>
      </w:r>
      <w:r>
        <w:rPr>
          <w:rStyle w:val="62"/>
          <w:sz w:val="21"/>
          <w:szCs w:val="21"/>
        </w:rPr>
        <w:fldChar w:fldCharType="end"/>
      </w:r>
      <w:r>
        <w:rPr>
          <w:color w:val="000000"/>
          <w:sz w:val="21"/>
          <w:szCs w:val="21"/>
        </w:rPr>
        <w:t>.</w:t>
      </w:r>
    </w:p>
    <w:p w14:paraId="3A732B45">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 Câmara Municipal de Primavera do Leste - MT enviará, por meio do correio eletrônico indicado na proposta, cópia da Ata de Registro de Preços e, em caso de utilização da ARP, o Instrumento de Contrato, devendo o mesmo dar o aceite em até 5 (cinco) dias úteis, sob pena de caracterização da conduta tipificada no </w:t>
      </w:r>
      <w:r>
        <w:rPr>
          <w:sz w:val="21"/>
          <w:szCs w:val="21"/>
        </w:rPr>
        <w:fldChar w:fldCharType="begin"/>
      </w:r>
      <w:r>
        <w:rPr>
          <w:rStyle w:val="62"/>
          <w:sz w:val="21"/>
          <w:szCs w:val="21"/>
        </w:rPr>
        <w:instrText xml:space="preserve"> HYPERLINK "https://www.planalto.gov.br/ccivil_03/_ato2019-2022/2021/lei/l14133.htm" \l "art155"</w:instrText>
      </w:r>
      <w:r>
        <w:rPr>
          <w:rStyle w:val="62"/>
          <w:sz w:val="21"/>
          <w:szCs w:val="21"/>
        </w:rPr>
        <w:fldChar w:fldCharType="separate"/>
      </w:r>
      <w:r>
        <w:rPr>
          <w:rStyle w:val="62"/>
          <w:sz w:val="21"/>
          <w:szCs w:val="21"/>
        </w:rPr>
        <w:t>art. 155, VI, da Lei Federal nº 14.133, de 2021</w:t>
      </w:r>
      <w:r>
        <w:rPr>
          <w:rStyle w:val="62"/>
          <w:sz w:val="21"/>
          <w:szCs w:val="21"/>
        </w:rPr>
        <w:fldChar w:fldCharType="end"/>
      </w:r>
      <w:r>
        <w:rPr>
          <w:color w:val="000000"/>
          <w:sz w:val="21"/>
          <w:szCs w:val="21"/>
        </w:rPr>
        <w:t>.</w:t>
      </w:r>
    </w:p>
    <w:p w14:paraId="2CA3434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Na hipótese de a licitante vencedora não assinar a Ata de Registro de Preços ou o o Instrumento de Contrato no prazo estabelecido, a Administração </w:t>
      </w:r>
      <w:r>
        <w:rPr>
          <w:sz w:val="21"/>
          <w:szCs w:val="21"/>
        </w:rPr>
        <w:t>poderá</w:t>
      </w:r>
      <w:r>
        <w:rPr>
          <w:color w:val="000000"/>
          <w:sz w:val="21"/>
          <w:szCs w:val="21"/>
        </w:rPr>
        <w:t xml:space="preserve"> convocar as licitantes remanescentes, na ordem de classificação para a celebração da contratação, nas mesmas condições propostas pela licitante vencedora, sem prejuízo da aplicação das sanções neste Edital, na </w:t>
      </w:r>
      <w:r>
        <w:rPr>
          <w:sz w:val="21"/>
          <w:szCs w:val="21"/>
        </w:rPr>
        <w:fldChar w:fldCharType="begin"/>
      </w:r>
      <w:r>
        <w:rPr>
          <w:sz w:val="21"/>
          <w:szCs w:val="21"/>
        </w:rPr>
        <w:instrText xml:space="preserve"> HYPERLINK "https://www.planalto.gov.br/ccivil_03/_ato2019-2022/2021/lei/l14133.htm" \h </w:instrText>
      </w:r>
      <w:r>
        <w:rPr>
          <w:sz w:val="21"/>
          <w:szCs w:val="21"/>
        </w:rPr>
        <w:fldChar w:fldCharType="separate"/>
      </w:r>
      <w:r>
        <w:rPr>
          <w:rStyle w:val="62"/>
          <w:sz w:val="21"/>
          <w:szCs w:val="21"/>
        </w:rPr>
        <w:t>Lei Federal nº 14.133, de 2021</w:t>
      </w:r>
      <w:r>
        <w:rPr>
          <w:rStyle w:val="62"/>
          <w:sz w:val="21"/>
          <w:szCs w:val="21"/>
        </w:rPr>
        <w:fldChar w:fldCharType="end"/>
      </w:r>
      <w:r>
        <w:rPr>
          <w:color w:val="000000"/>
          <w:sz w:val="21"/>
          <w:szCs w:val="21"/>
        </w:rPr>
        <w:t xml:space="preserve"> e em outras legislações aplicáveis (</w:t>
      </w:r>
      <w:r>
        <w:rPr>
          <w:sz w:val="21"/>
          <w:szCs w:val="21"/>
        </w:rPr>
        <w:fldChar w:fldCharType="begin"/>
      </w:r>
      <w:r>
        <w:rPr>
          <w:rStyle w:val="62"/>
          <w:sz w:val="21"/>
          <w:szCs w:val="21"/>
        </w:rPr>
        <w:instrText xml:space="preserve"> HYPERLINK "https://www.planalto.gov.br/ccivil_03/_ato2019-2022/2021/lei/l14133.htm" \l "art90"</w:instrText>
      </w:r>
      <w:r>
        <w:rPr>
          <w:rStyle w:val="62"/>
          <w:sz w:val="21"/>
          <w:szCs w:val="21"/>
        </w:rPr>
        <w:fldChar w:fldCharType="separate"/>
      </w:r>
      <w:r>
        <w:rPr>
          <w:rStyle w:val="62"/>
          <w:sz w:val="21"/>
          <w:szCs w:val="21"/>
        </w:rPr>
        <w:t>art. 90, § 2º, da Lei Federal nº 14.133, de 2021</w:t>
      </w:r>
      <w:r>
        <w:rPr>
          <w:rStyle w:val="62"/>
          <w:sz w:val="21"/>
          <w:szCs w:val="21"/>
        </w:rPr>
        <w:fldChar w:fldCharType="end"/>
      </w:r>
      <w:r>
        <w:rPr>
          <w:color w:val="000000"/>
          <w:sz w:val="21"/>
          <w:szCs w:val="21"/>
        </w:rPr>
        <w:t>).</w:t>
      </w:r>
    </w:p>
    <w:p w14:paraId="51D6FF7B">
      <w:pPr>
        <w:pStyle w:val="50"/>
        <w:numPr>
          <w:ilvl w:val="1"/>
          <w:numId w:val="1"/>
        </w:numPr>
        <w:tabs>
          <w:tab w:val="left" w:pos="1134"/>
        </w:tabs>
        <w:spacing w:before="0" w:beforeAutospacing="0" w:after="120" w:afterAutospacing="0"/>
        <w:ind w:left="-87" w:leftChars="0" w:firstLine="567" w:firstLineChars="0"/>
        <w:jc w:val="both"/>
        <w:textAlignment w:val="baseline"/>
        <w:rPr>
          <w:sz w:val="21"/>
          <w:szCs w:val="21"/>
        </w:rPr>
      </w:pPr>
      <w:r>
        <w:rPr>
          <w:color w:val="000000"/>
          <w:sz w:val="21"/>
          <w:szCs w:val="21"/>
        </w:rPr>
        <w:t xml:space="preserve">Caso nenhuma licitante aceite a contratação nos termos do item anterior, a Administração, </w:t>
      </w:r>
      <w:r>
        <w:rPr>
          <w:sz w:val="21"/>
          <w:szCs w:val="21"/>
        </w:rPr>
        <w:t>observados</w:t>
      </w:r>
      <w:r>
        <w:rPr>
          <w:color w:val="000000"/>
          <w:sz w:val="21"/>
          <w:szCs w:val="21"/>
        </w:rPr>
        <w:t xml:space="preserve"> o valor estimado e sua eventual atualização, se for o caso, poderá (</w:t>
      </w:r>
      <w:r>
        <w:rPr>
          <w:sz w:val="21"/>
          <w:szCs w:val="21"/>
        </w:rPr>
        <w:fldChar w:fldCharType="begin"/>
      </w:r>
      <w:r>
        <w:rPr>
          <w:rStyle w:val="62"/>
          <w:sz w:val="21"/>
          <w:szCs w:val="21"/>
        </w:rPr>
        <w:instrText xml:space="preserve"> HYPERLINK "https://www.planalto.gov.br/ccivil_03/_ato2019-2022/2021/lei/l14133.htm" \l "art90"</w:instrText>
      </w:r>
      <w:r>
        <w:rPr>
          <w:rStyle w:val="62"/>
          <w:sz w:val="21"/>
          <w:szCs w:val="21"/>
        </w:rPr>
        <w:fldChar w:fldCharType="separate"/>
      </w:r>
      <w:r>
        <w:rPr>
          <w:rStyle w:val="62"/>
          <w:sz w:val="21"/>
          <w:szCs w:val="21"/>
        </w:rPr>
        <w:t>art. 90, § 4º, da Lei Federal nº 14.133, de 2021</w:t>
      </w:r>
      <w:r>
        <w:rPr>
          <w:rStyle w:val="62"/>
          <w:sz w:val="21"/>
          <w:szCs w:val="21"/>
        </w:rPr>
        <w:fldChar w:fldCharType="end"/>
      </w:r>
      <w:r>
        <w:rPr>
          <w:color w:val="000000"/>
          <w:sz w:val="21"/>
          <w:szCs w:val="21"/>
        </w:rPr>
        <w:t>):</w:t>
      </w:r>
    </w:p>
    <w:p w14:paraId="6034E582">
      <w:pPr>
        <w:pStyle w:val="50"/>
        <w:numPr>
          <w:ilvl w:val="2"/>
          <w:numId w:val="11"/>
        </w:numPr>
        <w:tabs>
          <w:tab w:val="left" w:pos="1134"/>
        </w:tabs>
        <w:spacing w:before="120" w:beforeAutospacing="0" w:after="0" w:afterAutospacing="0"/>
        <w:jc w:val="both"/>
        <w:textAlignment w:val="baseline"/>
        <w:rPr>
          <w:rFonts w:ascii="Times New Roman" w:hAnsi="Times New Roman"/>
          <w:sz w:val="21"/>
          <w:szCs w:val="21"/>
        </w:rPr>
      </w:pPr>
      <w:r>
        <w:rPr>
          <w:color w:val="000000"/>
          <w:sz w:val="21"/>
          <w:szCs w:val="21"/>
        </w:rPr>
        <w:t>convocar as licitantes remanescentes, na ordem de classificação, para negociação, com vista à obtenção de melhor preço, mesmo que acima do ofertado pela adjudicatária;</w:t>
      </w:r>
    </w:p>
    <w:p w14:paraId="656C5BBF">
      <w:pPr>
        <w:pStyle w:val="50"/>
        <w:numPr>
          <w:ilvl w:val="2"/>
          <w:numId w:val="11"/>
        </w:numPr>
        <w:tabs>
          <w:tab w:val="left" w:pos="1134"/>
        </w:tabs>
        <w:spacing w:before="0" w:beforeAutospacing="0" w:after="120" w:afterAutospacing="0"/>
        <w:jc w:val="both"/>
        <w:textAlignment w:val="baseline"/>
        <w:rPr>
          <w:rFonts w:ascii="Times New Roman" w:hAnsi="Times New Roman"/>
          <w:sz w:val="21"/>
          <w:szCs w:val="21"/>
        </w:rPr>
      </w:pPr>
      <w:r>
        <w:rPr>
          <w:color w:val="000000"/>
          <w:sz w:val="21"/>
          <w:szCs w:val="21"/>
        </w:rPr>
        <w:t>adjudicar e celebrar a contratação nas condições ofertadas pelas licitantes remanescentes, na ordem de classificação, quando frustrada a negociação de melhor condição.</w:t>
      </w:r>
    </w:p>
    <w:p w14:paraId="7EE2BA46">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A </w:t>
      </w:r>
      <w:r>
        <w:rPr>
          <w:sz w:val="21"/>
          <w:szCs w:val="21"/>
        </w:rPr>
        <w:t>recusa</w:t>
      </w:r>
      <w:r>
        <w:rPr>
          <w:color w:val="000000"/>
          <w:sz w:val="21"/>
          <w:szCs w:val="21"/>
        </w:rPr>
        <w:t xml:space="preserve"> injustificada da adjudicatária em assinar a Ata de Registro de Preços no prazo estabelecido caracterizará o descumprimento total da obrigação assumida, sujeitando-se às penalidades previstas neste Edital e em lei (</w:t>
      </w:r>
      <w:r>
        <w:rPr>
          <w:sz w:val="21"/>
          <w:szCs w:val="21"/>
        </w:rPr>
        <w:fldChar w:fldCharType="begin"/>
      </w:r>
      <w:r>
        <w:rPr>
          <w:rStyle w:val="62"/>
          <w:sz w:val="21"/>
          <w:szCs w:val="21"/>
        </w:rPr>
        <w:instrText xml:space="preserve"> HYPERLINK "https://www.planalto.gov.br/ccivil_03/_ato2019-2022/2021/lei/l14133.htm" \l "art90"</w:instrText>
      </w:r>
      <w:r>
        <w:rPr>
          <w:rStyle w:val="62"/>
          <w:sz w:val="21"/>
          <w:szCs w:val="21"/>
        </w:rPr>
        <w:fldChar w:fldCharType="separate"/>
      </w:r>
      <w:r>
        <w:rPr>
          <w:rStyle w:val="62"/>
          <w:sz w:val="21"/>
          <w:szCs w:val="21"/>
        </w:rPr>
        <w:t>art. 90, §5º e 6º, da Lei Federal nº 14.133, de 2021</w:t>
      </w:r>
      <w:r>
        <w:rPr>
          <w:rStyle w:val="62"/>
          <w:sz w:val="21"/>
          <w:szCs w:val="21"/>
        </w:rPr>
        <w:fldChar w:fldCharType="end"/>
      </w:r>
      <w:r>
        <w:rPr>
          <w:color w:val="000000"/>
          <w:sz w:val="21"/>
          <w:szCs w:val="21"/>
        </w:rPr>
        <w:t>).</w:t>
      </w:r>
    </w:p>
    <w:p w14:paraId="747E4002">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Decorrido</w:t>
      </w:r>
      <w:r>
        <w:rPr>
          <w:color w:val="000000"/>
          <w:sz w:val="21"/>
          <w:szCs w:val="21"/>
        </w:rPr>
        <w:t xml:space="preserve"> o prazo de validade da proposta sem convocação para a assinatura da ARP, ficarão as licitantes liberadas do compromisso assumido (</w:t>
      </w:r>
      <w:r>
        <w:rPr>
          <w:sz w:val="21"/>
          <w:szCs w:val="21"/>
        </w:rPr>
        <w:fldChar w:fldCharType="begin"/>
      </w:r>
      <w:r>
        <w:rPr>
          <w:rStyle w:val="62"/>
          <w:sz w:val="21"/>
          <w:szCs w:val="21"/>
        </w:rPr>
        <w:instrText xml:space="preserve"> HYPERLINK "https://www.planalto.gov.br/ccivil_03/_ato2019-2022/2021/lei/l14133.htm" \l "art90"</w:instrText>
      </w:r>
      <w:r>
        <w:rPr>
          <w:rStyle w:val="62"/>
          <w:sz w:val="21"/>
          <w:szCs w:val="21"/>
        </w:rPr>
        <w:fldChar w:fldCharType="separate"/>
      </w:r>
      <w:r>
        <w:rPr>
          <w:rStyle w:val="62"/>
          <w:sz w:val="21"/>
          <w:szCs w:val="21"/>
        </w:rPr>
        <w:t>art. 90, §3º, da Lei Federal nº 14.133, de 2021</w:t>
      </w:r>
      <w:r>
        <w:rPr>
          <w:rStyle w:val="62"/>
          <w:sz w:val="21"/>
          <w:szCs w:val="21"/>
        </w:rPr>
        <w:fldChar w:fldCharType="end"/>
      </w:r>
      <w:r>
        <w:rPr>
          <w:color w:val="000000"/>
          <w:sz w:val="21"/>
          <w:szCs w:val="21"/>
        </w:rPr>
        <w:t>).</w:t>
      </w:r>
    </w:p>
    <w:p w14:paraId="2375D35B">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Será</w:t>
      </w:r>
      <w:r>
        <w:rPr>
          <w:color w:val="000000"/>
          <w:sz w:val="21"/>
          <w:szCs w:val="21"/>
        </w:rPr>
        <w:t xml:space="preserve"> facultada à Administração a convocação das demais licitantes classificadas para a contratação de remanescente de fornecimento em consequência de rescisão contratual, observados os mesmos critérios definidos neste Edital (</w:t>
      </w:r>
      <w:r>
        <w:rPr>
          <w:sz w:val="21"/>
          <w:szCs w:val="21"/>
        </w:rPr>
        <w:fldChar w:fldCharType="begin"/>
      </w:r>
      <w:r>
        <w:rPr>
          <w:rStyle w:val="62"/>
          <w:sz w:val="21"/>
          <w:szCs w:val="21"/>
        </w:rPr>
        <w:instrText xml:space="preserve"> HYPERLINK "https://www.planalto.gov.br/ccivil_03/_ato2019-2022/2021/lei/l14133.htm" \l "art90"</w:instrText>
      </w:r>
      <w:r>
        <w:rPr>
          <w:rStyle w:val="62"/>
          <w:sz w:val="21"/>
          <w:szCs w:val="21"/>
        </w:rPr>
        <w:fldChar w:fldCharType="separate"/>
      </w:r>
      <w:r>
        <w:rPr>
          <w:rStyle w:val="62"/>
          <w:sz w:val="21"/>
          <w:szCs w:val="21"/>
        </w:rPr>
        <w:t>art. 90, §7º, da Lei Federal nº 14.133, de 2021</w:t>
      </w:r>
      <w:r>
        <w:rPr>
          <w:rStyle w:val="62"/>
          <w:sz w:val="21"/>
          <w:szCs w:val="21"/>
        </w:rPr>
        <w:fldChar w:fldCharType="end"/>
      </w:r>
      <w:r>
        <w:rPr>
          <w:color w:val="000000"/>
          <w:sz w:val="21"/>
          <w:szCs w:val="21"/>
        </w:rPr>
        <w:t>).</w:t>
      </w:r>
    </w:p>
    <w:p w14:paraId="51D9D5AE">
      <w:pPr>
        <w:pStyle w:val="2"/>
        <w:spacing w:before="360" w:after="0"/>
        <w:rPr>
          <w:sz w:val="21"/>
          <w:szCs w:val="21"/>
        </w:rPr>
      </w:pPr>
      <w:bookmarkStart w:id="52" w:name="_SANÇÕES_ADMINISTRATIVAS"/>
      <w:bookmarkEnd w:id="52"/>
      <w:bookmarkStart w:id="53" w:name="_Toc149517461"/>
      <w:r>
        <w:rPr>
          <w:rStyle w:val="53"/>
          <w:sz w:val="21"/>
          <w:szCs w:val="21"/>
        </w:rPr>
        <w:t>SANÇÕES ADMINISTRATIVAS DE LICITAÇÃO</w:t>
      </w:r>
      <w:bookmarkEnd w:id="53"/>
    </w:p>
    <w:p w14:paraId="0418E399">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No </w:t>
      </w:r>
      <w:r>
        <w:rPr>
          <w:color w:val="000000" w:themeColor="text1"/>
          <w:sz w:val="21"/>
          <w:szCs w:val="21"/>
          <w14:textFill>
            <w14:solidFill>
              <w14:schemeClr w14:val="tx1"/>
            </w14:solidFill>
          </w14:textFill>
        </w:rPr>
        <w:t>caso</w:t>
      </w:r>
      <w:r>
        <w:rPr>
          <w:color w:val="000000"/>
          <w:sz w:val="21"/>
          <w:szCs w:val="21"/>
        </w:rPr>
        <w:t xml:space="preserve"> de a licitante ou a contratada incorrer em uma ou mais condutas tipificadas no </w:t>
      </w:r>
      <w:r>
        <w:rPr>
          <w:sz w:val="21"/>
          <w:szCs w:val="21"/>
        </w:rPr>
        <w:fldChar w:fldCharType="begin"/>
      </w:r>
      <w:r>
        <w:rPr>
          <w:rStyle w:val="62"/>
          <w:sz w:val="21"/>
          <w:szCs w:val="21"/>
        </w:rPr>
        <w:instrText xml:space="preserve"> HYPERLINK "https://www.planalto.gov.br/ccivil_03/_ato2019-2022/2021/lei/l14133.htm" \l "art155"</w:instrText>
      </w:r>
      <w:r>
        <w:rPr>
          <w:rStyle w:val="62"/>
          <w:sz w:val="21"/>
          <w:szCs w:val="21"/>
        </w:rPr>
        <w:fldChar w:fldCharType="separate"/>
      </w:r>
      <w:r>
        <w:rPr>
          <w:rStyle w:val="62"/>
          <w:sz w:val="21"/>
          <w:szCs w:val="21"/>
        </w:rPr>
        <w:t>art. 155 da Lei Federal nº 14.133, de 2021</w:t>
      </w:r>
      <w:r>
        <w:rPr>
          <w:rStyle w:val="62"/>
          <w:sz w:val="21"/>
          <w:szCs w:val="21"/>
        </w:rPr>
        <w:fldChar w:fldCharType="end"/>
      </w:r>
      <w:r>
        <w:rPr>
          <w:color w:val="000000"/>
          <w:sz w:val="21"/>
          <w:szCs w:val="21"/>
        </w:rPr>
        <w:t xml:space="preserve">, será responsabilizada administrativamente em uma ou mais das sanções previstas no </w:t>
      </w:r>
      <w:r>
        <w:rPr>
          <w:sz w:val="21"/>
          <w:szCs w:val="21"/>
        </w:rPr>
        <w:fldChar w:fldCharType="begin"/>
      </w:r>
      <w:r>
        <w:rPr>
          <w:rStyle w:val="62"/>
          <w:sz w:val="21"/>
          <w:szCs w:val="21"/>
        </w:rPr>
        <w:instrText xml:space="preserve"> HYPERLINK "https://www.planalto.gov.br/ccivil_03/_ato2019-2022/2021/lei/l14133.htm" \l "art156"</w:instrText>
      </w:r>
      <w:r>
        <w:rPr>
          <w:rStyle w:val="62"/>
          <w:sz w:val="21"/>
          <w:szCs w:val="21"/>
        </w:rPr>
        <w:fldChar w:fldCharType="separate"/>
      </w:r>
      <w:r>
        <w:rPr>
          <w:rStyle w:val="62"/>
          <w:sz w:val="21"/>
          <w:szCs w:val="21"/>
        </w:rPr>
        <w:t>art. 156, da Lei Federal nº 14.133, de 2021</w:t>
      </w:r>
      <w:r>
        <w:rPr>
          <w:rStyle w:val="62"/>
          <w:sz w:val="21"/>
          <w:szCs w:val="21"/>
        </w:rPr>
        <w:fldChar w:fldCharType="end"/>
      </w:r>
      <w:r>
        <w:rPr>
          <w:color w:val="000000"/>
          <w:sz w:val="21"/>
          <w:szCs w:val="21"/>
        </w:rPr>
        <w:t>, garantido o direito à ampla defesa e contraditório.</w:t>
      </w:r>
    </w:p>
    <w:p w14:paraId="5AD8C94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A </w:t>
      </w:r>
      <w:r>
        <w:rPr>
          <w:color w:val="000000" w:themeColor="text1"/>
          <w:sz w:val="21"/>
          <w:szCs w:val="21"/>
          <w14:textFill>
            <w14:solidFill>
              <w14:schemeClr w14:val="tx1"/>
            </w14:solidFill>
          </w14:textFill>
        </w:rPr>
        <w:t>recusa</w:t>
      </w:r>
      <w:r>
        <w:rPr>
          <w:color w:val="000000"/>
          <w:sz w:val="21"/>
          <w:szCs w:val="21"/>
        </w:rPr>
        <w:t xml:space="preserve"> da licitante vencedora em formalizar a Ata de Registro de Preços respectiva no prazo estabelecido pela Administração será considerada como inexecução total da obrigação assumida, ensejando a aplicação das sanções previstas em lei e neste Edital.</w:t>
      </w:r>
    </w:p>
    <w:p w14:paraId="18398057">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Na aplicação das sanções serão considerados (</w:t>
      </w:r>
      <w:r>
        <w:rPr>
          <w:sz w:val="21"/>
          <w:szCs w:val="21"/>
        </w:rPr>
        <w:fldChar w:fldCharType="begin"/>
      </w:r>
      <w:r>
        <w:rPr>
          <w:rStyle w:val="62"/>
          <w:sz w:val="21"/>
          <w:szCs w:val="21"/>
        </w:rPr>
        <w:instrText xml:space="preserve"> HYPERLINK "https://www.planalto.gov.br/ccivil_03/_ato2019-2022/2021/lei/l14133.htm" \l "art156"</w:instrText>
      </w:r>
      <w:r>
        <w:rPr>
          <w:rStyle w:val="62"/>
          <w:sz w:val="21"/>
          <w:szCs w:val="21"/>
        </w:rPr>
        <w:fldChar w:fldCharType="separate"/>
      </w:r>
      <w:r>
        <w:rPr>
          <w:rStyle w:val="62"/>
          <w:sz w:val="21"/>
          <w:szCs w:val="21"/>
        </w:rPr>
        <w:t>art. 156, § 1º, da Lei Federal nº 14.133, de 2021</w:t>
      </w:r>
      <w:r>
        <w:rPr>
          <w:rStyle w:val="62"/>
          <w:sz w:val="21"/>
          <w:szCs w:val="21"/>
        </w:rPr>
        <w:fldChar w:fldCharType="end"/>
      </w:r>
      <w:r>
        <w:rPr>
          <w:color w:val="000000"/>
          <w:sz w:val="21"/>
          <w:szCs w:val="21"/>
        </w:rPr>
        <w:t>):</w:t>
      </w:r>
    </w:p>
    <w:p w14:paraId="05E403FB">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bookmarkStart w:id="54" w:name="art156§1i"/>
      <w:bookmarkEnd w:id="54"/>
      <w:r>
        <w:rPr>
          <w:color w:val="000000"/>
          <w:sz w:val="21"/>
          <w:szCs w:val="21"/>
        </w:rPr>
        <w:t>a natureza e a gravidade da infração cometida;</w:t>
      </w:r>
    </w:p>
    <w:p w14:paraId="1DBD9883">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bookmarkStart w:id="55" w:name="art156§1ii"/>
      <w:bookmarkEnd w:id="55"/>
      <w:r>
        <w:rPr>
          <w:color w:val="000000"/>
          <w:sz w:val="21"/>
          <w:szCs w:val="21"/>
        </w:rPr>
        <w:t>as peculiaridades do caso concreto;</w:t>
      </w:r>
    </w:p>
    <w:p w14:paraId="02981469">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bookmarkStart w:id="56" w:name="art156§1iii"/>
      <w:bookmarkEnd w:id="56"/>
      <w:r>
        <w:rPr>
          <w:color w:val="000000"/>
          <w:sz w:val="21"/>
          <w:szCs w:val="21"/>
        </w:rPr>
        <w:t>as circunstâncias agravantes ou atenuantes;</w:t>
      </w:r>
    </w:p>
    <w:p w14:paraId="74274A1E">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bookmarkStart w:id="57" w:name="art156§1iv"/>
      <w:bookmarkEnd w:id="57"/>
      <w:r>
        <w:rPr>
          <w:color w:val="000000"/>
          <w:sz w:val="21"/>
          <w:szCs w:val="21"/>
        </w:rPr>
        <w:t>os danos que dela provierem para a Administração Pública;</w:t>
      </w:r>
    </w:p>
    <w:p w14:paraId="121B4B31">
      <w:pPr>
        <w:pStyle w:val="50"/>
        <w:numPr>
          <w:ilvl w:val="2"/>
          <w:numId w:val="1"/>
        </w:numPr>
        <w:tabs>
          <w:tab w:val="left" w:pos="1134"/>
        </w:tabs>
        <w:spacing w:before="0" w:beforeAutospacing="0" w:after="0" w:afterAutospacing="0"/>
        <w:jc w:val="both"/>
        <w:textAlignment w:val="baseline"/>
        <w:rPr>
          <w:rFonts w:ascii="Times New Roman" w:hAnsi="Times New Roman"/>
          <w:sz w:val="21"/>
          <w:szCs w:val="21"/>
        </w:rPr>
      </w:pPr>
      <w:bookmarkStart w:id="58" w:name="art156§1v"/>
      <w:bookmarkEnd w:id="58"/>
      <w:r>
        <w:rPr>
          <w:color w:val="000000"/>
          <w:sz w:val="21"/>
          <w:szCs w:val="21"/>
        </w:rPr>
        <w:t>a implantação ou o aperfeiçoamento de programa de integridade, conforme normas e orientações dos órgãos de controle.</w:t>
      </w:r>
    </w:p>
    <w:p w14:paraId="0276BA9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sz w:val="21"/>
          <w:szCs w:val="21"/>
        </w:rPr>
        <w:t>No caso de sanções de licitação, não será aplicada a penalidade de advertência; as sanções de impedimento de licitar e contratar e declaração de inidoneidade para licitar ou contratar poderão ser aplicadas, cumulativamente ou não, à penalidade de multa.</w:t>
      </w:r>
    </w:p>
    <w:p w14:paraId="40C361B7">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sz w:val="21"/>
          <w:szCs w:val="21"/>
        </w:rPr>
        <w:t xml:space="preserve">O processamento das penalidades seguirá os ditames da </w:t>
      </w:r>
      <w:r>
        <w:rPr>
          <w:sz w:val="21"/>
          <w:szCs w:val="21"/>
        </w:rPr>
        <w:fldChar w:fldCharType="begin"/>
      </w:r>
      <w:r>
        <w:rPr>
          <w:sz w:val="21"/>
          <w:szCs w:val="21"/>
        </w:rPr>
        <w:instrText xml:space="preserve"> HYPERLINK "https://www.planalto.gov.br/ccivil_03/_ato2019-2022/2021/lei/l14133.htm" \h </w:instrText>
      </w:r>
      <w:r>
        <w:rPr>
          <w:sz w:val="21"/>
          <w:szCs w:val="21"/>
        </w:rPr>
        <w:fldChar w:fldCharType="separate"/>
      </w:r>
      <w:r>
        <w:rPr>
          <w:rStyle w:val="62"/>
          <w:sz w:val="21"/>
          <w:szCs w:val="21"/>
        </w:rPr>
        <w:t>Lei Federal nº 14.133, de 2021</w:t>
      </w:r>
      <w:r>
        <w:rPr>
          <w:rStyle w:val="62"/>
          <w:sz w:val="21"/>
          <w:szCs w:val="21"/>
        </w:rPr>
        <w:fldChar w:fldCharType="end"/>
      </w:r>
      <w:r>
        <w:rPr>
          <w:sz w:val="21"/>
          <w:szCs w:val="21"/>
        </w:rPr>
        <w:t>.</w:t>
      </w:r>
    </w:p>
    <w:p w14:paraId="193EA45D">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As sanções serão registradas e publicadas no Cadastro Nacional de Empresas Inidôneas e </w:t>
      </w:r>
      <w:r>
        <w:rPr>
          <w:color w:val="000000" w:themeColor="text1"/>
          <w:sz w:val="21"/>
          <w:szCs w:val="21"/>
          <w14:textFill>
            <w14:solidFill>
              <w14:schemeClr w14:val="tx1"/>
            </w14:solidFill>
          </w14:textFill>
        </w:rPr>
        <w:t>Suspensas</w:t>
      </w:r>
      <w:r>
        <w:rPr>
          <w:color w:val="000000"/>
          <w:sz w:val="21"/>
          <w:szCs w:val="21"/>
        </w:rPr>
        <w:t xml:space="preserve"> (Ceis) e no Cadastro Nacional de Empresas Punidas (Cnep), no prazo máximo de 15 (quinze) dias úteis, contado do trânsito em julgado da aplicação da sanção, nos termos do </w:t>
      </w:r>
      <w:r>
        <w:rPr>
          <w:sz w:val="21"/>
          <w:szCs w:val="21"/>
        </w:rPr>
        <w:fldChar w:fldCharType="begin"/>
      </w:r>
      <w:r>
        <w:rPr>
          <w:rStyle w:val="62"/>
          <w:sz w:val="21"/>
          <w:szCs w:val="21"/>
        </w:rPr>
        <w:instrText xml:space="preserve"> HYPERLINK "https://www.planalto.gov.br/ccivil_03/_ato2019-2022/2021/lei/l14133.htm" \l "art161"</w:instrText>
      </w:r>
      <w:r>
        <w:rPr>
          <w:rStyle w:val="62"/>
          <w:sz w:val="21"/>
          <w:szCs w:val="21"/>
        </w:rPr>
        <w:fldChar w:fldCharType="separate"/>
      </w:r>
      <w:r>
        <w:rPr>
          <w:rStyle w:val="62"/>
          <w:sz w:val="21"/>
          <w:szCs w:val="21"/>
        </w:rPr>
        <w:t>art. 161 da Lei Federal nº 14.133, de 2021</w:t>
      </w:r>
      <w:r>
        <w:rPr>
          <w:rStyle w:val="62"/>
          <w:sz w:val="21"/>
          <w:szCs w:val="21"/>
        </w:rPr>
        <w:fldChar w:fldCharType="end"/>
      </w:r>
      <w:r>
        <w:rPr>
          <w:color w:val="000000"/>
          <w:sz w:val="21"/>
          <w:szCs w:val="21"/>
        </w:rPr>
        <w:t>.</w:t>
      </w:r>
    </w:p>
    <w:p w14:paraId="2554F3D6">
      <w:pPr>
        <w:pStyle w:val="2"/>
        <w:spacing w:before="360" w:after="0"/>
        <w:rPr>
          <w:sz w:val="21"/>
          <w:szCs w:val="21"/>
        </w:rPr>
      </w:pPr>
      <w:bookmarkStart w:id="59" w:name="_Toc149517462"/>
      <w:r>
        <w:rPr>
          <w:rStyle w:val="53"/>
          <w:sz w:val="21"/>
          <w:szCs w:val="21"/>
        </w:rPr>
        <w:t>PROTEÇÃO DOS DADOS NA LICITAÇÃO</w:t>
      </w:r>
      <w:bookmarkEnd w:id="59"/>
    </w:p>
    <w:p w14:paraId="067324B2">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rStyle w:val="53"/>
          <w:color w:val="000000" w:themeColor="text1"/>
          <w:sz w:val="21"/>
          <w:szCs w:val="21"/>
          <w14:textFill>
            <w14:solidFill>
              <w14:schemeClr w14:val="tx1"/>
            </w14:solidFill>
          </w14:textFill>
        </w:rPr>
        <w:t xml:space="preserve">Ao participar da presente licitação, e em atenção ao que dispõe o </w:t>
      </w:r>
      <w:r>
        <w:rPr>
          <w:sz w:val="21"/>
          <w:szCs w:val="21"/>
        </w:rPr>
        <w:fldChar w:fldCharType="begin"/>
      </w:r>
      <w:r>
        <w:rPr>
          <w:rStyle w:val="62"/>
          <w:sz w:val="21"/>
          <w:szCs w:val="21"/>
        </w:rPr>
        <w:instrText xml:space="preserve"> HYPERLINK "https://www.planalto.gov.br/ccivil_03/_ato2015-2018/2018/lei/l13709.htm" \l "art7"</w:instrText>
      </w:r>
      <w:r>
        <w:rPr>
          <w:rStyle w:val="62"/>
          <w:sz w:val="21"/>
          <w:szCs w:val="21"/>
        </w:rPr>
        <w:fldChar w:fldCharType="separate"/>
      </w:r>
      <w:r>
        <w:rPr>
          <w:rStyle w:val="62"/>
          <w:sz w:val="21"/>
          <w:szCs w:val="21"/>
        </w:rPr>
        <w:t>art. 7º, I, da Lei Federal nº 13.709, de 2018</w:t>
      </w:r>
      <w:r>
        <w:rPr>
          <w:rStyle w:val="62"/>
          <w:sz w:val="21"/>
          <w:szCs w:val="21"/>
        </w:rPr>
        <w:fldChar w:fldCharType="end"/>
      </w:r>
      <w:r>
        <w:rPr>
          <w:rStyle w:val="53"/>
          <w:color w:val="000000" w:themeColor="text1"/>
          <w:sz w:val="21"/>
          <w:szCs w:val="21"/>
          <w14:textFill>
            <w14:solidFill>
              <w14:schemeClr w14:val="tx1"/>
            </w14:solidFill>
          </w14:textFill>
        </w:rPr>
        <w:t xml:space="preserve"> (Lei Geral de Proteção de Dados - LGPD), as licitantes ficam cientes e fornecem consentimento para que a </w:t>
      </w:r>
      <w:r>
        <w:rPr>
          <w:color w:val="000000"/>
          <w:sz w:val="21"/>
          <w:szCs w:val="21"/>
        </w:rPr>
        <w:t>Câmara Municipal de Primavera do Leste - MT</w:t>
      </w:r>
      <w:r>
        <w:rPr>
          <w:rStyle w:val="53"/>
          <w:color w:val="000000" w:themeColor="text1"/>
          <w:sz w:val="21"/>
          <w:szCs w:val="21"/>
          <w14:textFill>
            <w14:solidFill>
              <w14:schemeClr w14:val="tx1"/>
            </w14:solidFill>
          </w14:textFill>
        </w:rPr>
        <w:t xml:space="preserve">, com base no previsto no </w:t>
      </w:r>
      <w:r>
        <w:rPr>
          <w:sz w:val="21"/>
          <w:szCs w:val="21"/>
        </w:rPr>
        <w:fldChar w:fldCharType="begin"/>
      </w:r>
      <w:r>
        <w:rPr>
          <w:rStyle w:val="62"/>
          <w:sz w:val="21"/>
          <w:szCs w:val="21"/>
        </w:rPr>
        <w:instrText xml:space="preserve"> HYPERLINK "https://www.planalto.gov.br/ccivil_03/_ato2015-2018/2018/lei/l13709.htm" \l "art7"</w:instrText>
      </w:r>
      <w:r>
        <w:rPr>
          <w:rStyle w:val="62"/>
          <w:sz w:val="21"/>
          <w:szCs w:val="21"/>
        </w:rPr>
        <w:fldChar w:fldCharType="separate"/>
      </w:r>
      <w:r>
        <w:rPr>
          <w:rStyle w:val="62"/>
          <w:sz w:val="21"/>
          <w:szCs w:val="21"/>
        </w:rPr>
        <w:t>art. 7º, II e III</w:t>
      </w:r>
      <w:r>
        <w:rPr>
          <w:rStyle w:val="62"/>
          <w:sz w:val="21"/>
          <w:szCs w:val="21"/>
        </w:rPr>
        <w:fldChar w:fldCharType="end"/>
      </w:r>
      <w:r>
        <w:rPr>
          <w:rStyle w:val="53"/>
          <w:color w:val="000000" w:themeColor="text1"/>
          <w:sz w:val="21"/>
          <w:szCs w:val="21"/>
          <w14:textFill>
            <w14:solidFill>
              <w14:schemeClr w14:val="tx1"/>
            </w14:solidFill>
          </w14:textFill>
        </w:rPr>
        <w:t xml:space="preserve">, c/c o </w:t>
      </w:r>
      <w:r>
        <w:rPr>
          <w:sz w:val="21"/>
          <w:szCs w:val="21"/>
        </w:rPr>
        <w:fldChar w:fldCharType="begin"/>
      </w:r>
      <w:r>
        <w:rPr>
          <w:rStyle w:val="62"/>
          <w:sz w:val="21"/>
          <w:szCs w:val="21"/>
        </w:rPr>
        <w:instrText xml:space="preserve"> HYPERLINK "https://www.planalto.gov.br/ccivil_03/_ato2015-2018/2018/lei/l13709.htm" \l "art23"</w:instrText>
      </w:r>
      <w:r>
        <w:rPr>
          <w:rStyle w:val="62"/>
          <w:sz w:val="21"/>
          <w:szCs w:val="21"/>
        </w:rPr>
        <w:fldChar w:fldCharType="separate"/>
      </w:r>
      <w:r>
        <w:rPr>
          <w:rStyle w:val="62"/>
          <w:sz w:val="21"/>
          <w:szCs w:val="21"/>
        </w:rPr>
        <w:t>art. 23 Lei Federal nº 13.709, de 2018</w:t>
      </w:r>
      <w:r>
        <w:rPr>
          <w:rStyle w:val="62"/>
          <w:sz w:val="21"/>
          <w:szCs w:val="21"/>
        </w:rPr>
        <w:fldChar w:fldCharType="end"/>
      </w:r>
      <w:r>
        <w:rPr>
          <w:rStyle w:val="53"/>
          <w:color w:val="000000" w:themeColor="text1"/>
          <w:sz w:val="21"/>
          <w:szCs w:val="21"/>
          <w14:textFill>
            <w14:solidFill>
              <w14:schemeClr w14:val="tx1"/>
            </w14:solidFill>
          </w14:textFill>
        </w:rPr>
        <w:t xml:space="preserve">, irá realizar o </w:t>
      </w:r>
      <w:r>
        <w:rPr>
          <w:sz w:val="21"/>
          <w:szCs w:val="21"/>
        </w:rPr>
        <w:t>tratamento</w:t>
      </w:r>
      <w:r>
        <w:rPr>
          <w:rStyle w:val="53"/>
          <w:color w:val="000000" w:themeColor="text1"/>
          <w:sz w:val="21"/>
          <w:szCs w:val="21"/>
          <w14:textFill>
            <w14:solidFill>
              <w14:schemeClr w14:val="tx1"/>
            </w14:solidFill>
          </w14:textFill>
        </w:rPr>
        <w:t xml:space="preserve"> de dados pessoais necessários aos procedimentos preliminares e às contratações públicas, inclusive de alguns de seus sócios, bem como compartilhá-los com órgãos de controle, observados os princípios previstos no </w:t>
      </w:r>
      <w:r>
        <w:rPr>
          <w:sz w:val="21"/>
          <w:szCs w:val="21"/>
        </w:rPr>
        <w:fldChar w:fldCharType="begin"/>
      </w:r>
      <w:r>
        <w:rPr>
          <w:rStyle w:val="62"/>
          <w:sz w:val="21"/>
          <w:szCs w:val="21"/>
        </w:rPr>
        <w:instrText xml:space="preserve"> HYPERLINK "https://www.planalto.gov.br/ccivil_03/_ato2015-2018/2018/lei/l13709.htm" \l "art6"</w:instrText>
      </w:r>
      <w:r>
        <w:rPr>
          <w:rStyle w:val="62"/>
          <w:sz w:val="21"/>
          <w:szCs w:val="21"/>
        </w:rPr>
        <w:fldChar w:fldCharType="separate"/>
      </w:r>
      <w:r>
        <w:rPr>
          <w:rStyle w:val="62"/>
          <w:sz w:val="21"/>
          <w:szCs w:val="21"/>
        </w:rPr>
        <w:t>art. 6º da Lei Federal nº 13.709, de 2018</w:t>
      </w:r>
      <w:r>
        <w:rPr>
          <w:rStyle w:val="62"/>
          <w:sz w:val="21"/>
          <w:szCs w:val="21"/>
        </w:rPr>
        <w:fldChar w:fldCharType="end"/>
      </w:r>
      <w:r>
        <w:rPr>
          <w:rStyle w:val="53"/>
          <w:color w:val="000000" w:themeColor="text1"/>
          <w:sz w:val="21"/>
          <w:szCs w:val="21"/>
          <w14:textFill>
            <w14:solidFill>
              <w14:schemeClr w14:val="tx1"/>
            </w14:solidFill>
          </w14:textFill>
        </w:rPr>
        <w:t xml:space="preserve">,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w:t>
      </w:r>
      <w:r>
        <w:rPr>
          <w:sz w:val="21"/>
          <w:szCs w:val="21"/>
        </w:rPr>
        <w:fldChar w:fldCharType="begin"/>
      </w:r>
      <w:r>
        <w:rPr>
          <w:rStyle w:val="62"/>
          <w:sz w:val="21"/>
          <w:szCs w:val="21"/>
        </w:rPr>
        <w:instrText xml:space="preserve"> HYPERLINK "https://www.planalto.gov.br/ccivil_03/_ato2015-2018/2018/lei/l13709.htm" \l "art16"</w:instrText>
      </w:r>
      <w:r>
        <w:rPr>
          <w:rStyle w:val="62"/>
          <w:sz w:val="21"/>
          <w:szCs w:val="21"/>
        </w:rPr>
        <w:fldChar w:fldCharType="separate"/>
      </w:r>
      <w:r>
        <w:rPr>
          <w:rStyle w:val="62"/>
          <w:sz w:val="21"/>
          <w:szCs w:val="21"/>
        </w:rPr>
        <w:t>art. 16, inciso I da Lei Federal nº 13.709, de 2018</w:t>
      </w:r>
      <w:r>
        <w:rPr>
          <w:rStyle w:val="62"/>
          <w:sz w:val="21"/>
          <w:szCs w:val="21"/>
        </w:rPr>
        <w:fldChar w:fldCharType="end"/>
      </w:r>
      <w:r>
        <w:rPr>
          <w:rStyle w:val="53"/>
          <w:color w:val="000000" w:themeColor="text1"/>
          <w:sz w:val="21"/>
          <w:szCs w:val="21"/>
          <w14:textFill>
            <w14:solidFill>
              <w14:schemeClr w14:val="tx1"/>
            </w14:solidFill>
          </w14:textFill>
        </w:rPr>
        <w:t xml:space="preserve">. </w:t>
      </w:r>
    </w:p>
    <w:p w14:paraId="0291CD1F">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themeColor="text1"/>
          <w:sz w:val="21"/>
          <w:szCs w:val="21"/>
          <w14:textFill>
            <w14:solidFill>
              <w14:schemeClr w14:val="tx1"/>
            </w14:solidFill>
          </w14:textFill>
        </w:rPr>
        <w:t xml:space="preserve">A(s) licitante(s) </w:t>
      </w:r>
      <w:r>
        <w:rPr>
          <w:sz w:val="21"/>
          <w:szCs w:val="21"/>
        </w:rPr>
        <w:t xml:space="preserve">e a </w:t>
      </w:r>
      <w:r>
        <w:rPr>
          <w:color w:val="000000"/>
          <w:sz w:val="21"/>
          <w:szCs w:val="21"/>
        </w:rPr>
        <w:t>Câmara Municipal de Primavera do Leste - MT</w:t>
      </w:r>
      <w:r>
        <w:rPr>
          <w:sz w:val="21"/>
          <w:szCs w:val="21"/>
        </w:rPr>
        <w:t xml:space="preserve"> </w:t>
      </w:r>
      <w:r>
        <w:rPr>
          <w:rStyle w:val="53"/>
          <w:color w:val="000000" w:themeColor="text1"/>
          <w:sz w:val="21"/>
          <w:szCs w:val="21"/>
          <w14:textFill>
            <w14:solidFill>
              <w14:schemeClr w14:val="tx1"/>
            </w14:solidFill>
          </w14:textFill>
        </w:rPr>
        <w:t xml:space="preserve">obrigam-se a cumprir o disposto na </w:t>
      </w:r>
      <w:r>
        <w:rPr>
          <w:sz w:val="21"/>
          <w:szCs w:val="21"/>
        </w:rPr>
        <w:fldChar w:fldCharType="begin"/>
      </w:r>
      <w:r>
        <w:rPr>
          <w:sz w:val="21"/>
          <w:szCs w:val="21"/>
        </w:rPr>
        <w:instrText xml:space="preserve"> HYPERLINK "https://www.planalto.gov.br/ccivil_03/_ato2015-2018/2018/lei/l13709.htm" \h </w:instrText>
      </w:r>
      <w:r>
        <w:rPr>
          <w:sz w:val="21"/>
          <w:szCs w:val="21"/>
        </w:rPr>
        <w:fldChar w:fldCharType="separate"/>
      </w:r>
      <w:r>
        <w:rPr>
          <w:rStyle w:val="62"/>
          <w:sz w:val="21"/>
          <w:szCs w:val="21"/>
        </w:rPr>
        <w:t>Lei Federal nº 13.709, de 2018</w:t>
      </w:r>
      <w:r>
        <w:rPr>
          <w:rStyle w:val="62"/>
          <w:sz w:val="21"/>
          <w:szCs w:val="21"/>
        </w:rPr>
        <w:fldChar w:fldCharType="end"/>
      </w:r>
      <w:r>
        <w:rPr>
          <w:rStyle w:val="53"/>
          <w:color w:val="000000" w:themeColor="text1"/>
          <w:sz w:val="21"/>
          <w:szCs w:val="21"/>
          <w14:textFill>
            <w14:solidFill>
              <w14:schemeClr w14:val="tx1"/>
            </w14:solidFill>
          </w14:textFill>
        </w:rPr>
        <w:t xml:space="preserve">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contrato.</w:t>
      </w:r>
    </w:p>
    <w:p w14:paraId="4E2FDB23">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themeColor="text1"/>
          <w:sz w:val="21"/>
          <w:szCs w:val="21"/>
          <w14:textFill>
            <w14:solidFill>
              <w14:schemeClr w14:val="tx1"/>
            </w14:solidFill>
          </w14:textFill>
        </w:rPr>
        <w:t xml:space="preserve">As partes ficam obrigadas a comunicar UMA A OUTRA, em até 24 (vinte e quatro) horas, a contar da ciência do ocorrido, qualquer incidente de segurança aos dados pessoais repassados em decorrência desta licitação e a adotar as providências dispostas no </w:t>
      </w:r>
      <w:r>
        <w:rPr>
          <w:sz w:val="21"/>
          <w:szCs w:val="21"/>
        </w:rPr>
        <w:fldChar w:fldCharType="begin"/>
      </w:r>
      <w:r>
        <w:rPr>
          <w:rStyle w:val="62"/>
          <w:sz w:val="21"/>
          <w:szCs w:val="21"/>
        </w:rPr>
        <w:instrText xml:space="preserve"> HYPERLINK "https://www.planalto.gov.br/ccivil_03/_ato2015-2018/2018/lei/l13709.htm" \l "art48"</w:instrText>
      </w:r>
      <w:r>
        <w:rPr>
          <w:rStyle w:val="62"/>
          <w:sz w:val="21"/>
          <w:szCs w:val="21"/>
        </w:rPr>
        <w:fldChar w:fldCharType="separate"/>
      </w:r>
      <w:r>
        <w:rPr>
          <w:rStyle w:val="62"/>
          <w:sz w:val="21"/>
          <w:szCs w:val="21"/>
        </w:rPr>
        <w:t>art. 48 da Lei Federal nº 13.709, de 2018</w:t>
      </w:r>
      <w:r>
        <w:rPr>
          <w:rStyle w:val="62"/>
          <w:sz w:val="21"/>
          <w:szCs w:val="21"/>
        </w:rPr>
        <w:fldChar w:fldCharType="end"/>
      </w:r>
      <w:r>
        <w:rPr>
          <w:rStyle w:val="53"/>
          <w:color w:val="000000" w:themeColor="text1"/>
          <w:sz w:val="21"/>
          <w:szCs w:val="21"/>
          <w14:textFill>
            <w14:solidFill>
              <w14:schemeClr w14:val="tx1"/>
            </w14:solidFill>
          </w14:textFill>
        </w:rPr>
        <w:t>.</w:t>
      </w:r>
    </w:p>
    <w:p w14:paraId="58BA4741">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rStyle w:val="53"/>
          <w:color w:val="000000" w:themeColor="text1"/>
          <w:sz w:val="21"/>
          <w:szCs w:val="21"/>
          <w14:textFill>
            <w14:solidFill>
              <w14:schemeClr w14:val="tx1"/>
            </w14:solidFill>
          </w14:textFill>
        </w:rPr>
        <w:t xml:space="preserve">Para a execução do objeto, em observância ao disposto na </w:t>
      </w:r>
      <w:r>
        <w:rPr>
          <w:sz w:val="21"/>
          <w:szCs w:val="21"/>
        </w:rPr>
        <w:fldChar w:fldCharType="begin"/>
      </w:r>
      <w:r>
        <w:rPr>
          <w:sz w:val="21"/>
          <w:szCs w:val="21"/>
        </w:rPr>
        <w:instrText xml:space="preserve"> HYPERLINK "https://www.planalto.gov.br/ccivil_03/_ato2015-2018/2018/lei/l13709.htm" \h </w:instrText>
      </w:r>
      <w:r>
        <w:rPr>
          <w:sz w:val="21"/>
          <w:szCs w:val="21"/>
        </w:rPr>
        <w:fldChar w:fldCharType="separate"/>
      </w:r>
      <w:r>
        <w:rPr>
          <w:rStyle w:val="62"/>
          <w:sz w:val="21"/>
          <w:szCs w:val="21"/>
        </w:rPr>
        <w:t>Lei Federal nº 13.709, de 2018</w:t>
      </w:r>
      <w:r>
        <w:rPr>
          <w:rStyle w:val="62"/>
          <w:sz w:val="21"/>
          <w:szCs w:val="21"/>
        </w:rPr>
        <w:fldChar w:fldCharType="end"/>
      </w:r>
      <w:r>
        <w:rPr>
          <w:rStyle w:val="53"/>
          <w:color w:val="000000" w:themeColor="text1"/>
          <w:sz w:val="21"/>
          <w:szCs w:val="21"/>
          <w14:textFill>
            <w14:solidFill>
              <w14:schemeClr w14:val="tx1"/>
            </w14:solidFill>
          </w14:textFill>
        </w:rPr>
        <w:t xml:space="preserve"> (LGPD), na </w:t>
      </w:r>
      <w:r>
        <w:rPr>
          <w:sz w:val="21"/>
          <w:szCs w:val="21"/>
        </w:rPr>
        <w:fldChar w:fldCharType="begin"/>
      </w:r>
      <w:r>
        <w:rPr>
          <w:sz w:val="21"/>
          <w:szCs w:val="21"/>
        </w:rPr>
        <w:instrText xml:space="preserve"> HYPERLINK "https://www.planalto.gov.br/ccivil_03/leis/lcp/lcp101.htm" \h </w:instrText>
      </w:r>
      <w:r>
        <w:rPr>
          <w:sz w:val="21"/>
          <w:szCs w:val="21"/>
        </w:rPr>
        <w:fldChar w:fldCharType="separate"/>
      </w:r>
      <w:r>
        <w:rPr>
          <w:rStyle w:val="62"/>
          <w:sz w:val="21"/>
          <w:szCs w:val="21"/>
        </w:rPr>
        <w:t>Lei Complementar Federal nº 101, de 2000</w:t>
      </w:r>
      <w:r>
        <w:rPr>
          <w:rStyle w:val="62"/>
          <w:sz w:val="21"/>
          <w:szCs w:val="21"/>
        </w:rPr>
        <w:fldChar w:fldCharType="end"/>
      </w:r>
      <w:r>
        <w:rPr>
          <w:rStyle w:val="53"/>
          <w:color w:val="000000" w:themeColor="text1"/>
          <w:sz w:val="21"/>
          <w:szCs w:val="21"/>
          <w14:textFill>
            <w14:solidFill>
              <w14:schemeClr w14:val="tx1"/>
            </w14:solidFill>
          </w14:textFill>
        </w:rPr>
        <w:t xml:space="preserve"> (Lei de Responsabilidade Fiscal) e na </w:t>
      </w:r>
      <w:r>
        <w:rPr>
          <w:sz w:val="21"/>
          <w:szCs w:val="21"/>
        </w:rPr>
        <w:fldChar w:fldCharType="begin"/>
      </w:r>
      <w:r>
        <w:rPr>
          <w:sz w:val="21"/>
          <w:szCs w:val="21"/>
        </w:rPr>
        <w:instrText xml:space="preserve"> HYPERLINK "https://www.planalto.gov.br/ccivil_03/_ato2011-2014/2011/lei/l12527.htm" \h </w:instrText>
      </w:r>
      <w:r>
        <w:rPr>
          <w:sz w:val="21"/>
          <w:szCs w:val="21"/>
        </w:rPr>
        <w:fldChar w:fldCharType="separate"/>
      </w:r>
      <w:r>
        <w:rPr>
          <w:rStyle w:val="62"/>
          <w:sz w:val="21"/>
          <w:szCs w:val="21"/>
        </w:rPr>
        <w:t>Lei Federal nº 12.527, de 2011</w:t>
      </w:r>
      <w:r>
        <w:rPr>
          <w:rStyle w:val="62"/>
          <w:sz w:val="21"/>
          <w:szCs w:val="21"/>
        </w:rPr>
        <w:fldChar w:fldCharType="end"/>
      </w:r>
      <w:r>
        <w:rPr>
          <w:rStyle w:val="53"/>
          <w:color w:val="000000" w:themeColor="text1"/>
          <w:sz w:val="21"/>
          <w:szCs w:val="21"/>
          <w14:textFill>
            <w14:solidFill>
              <w14:schemeClr w14:val="tx1"/>
            </w14:solidFill>
          </w14:textFill>
        </w:rPr>
        <w:t xml:space="preserve"> (Lei de Acesso à Informação) e ao princípio da transparência, a(s) Licitante(s) e seus representantes ficam cientes do acesso pela </w:t>
      </w:r>
      <w:r>
        <w:rPr>
          <w:color w:val="000000"/>
          <w:sz w:val="21"/>
          <w:szCs w:val="21"/>
        </w:rPr>
        <w:t>Câmara Municipal de Primavera do Leste - MT</w:t>
      </w:r>
      <w:r>
        <w:rPr>
          <w:rStyle w:val="53"/>
          <w:color w:val="000000" w:themeColor="text1"/>
          <w:sz w:val="21"/>
          <w:szCs w:val="21"/>
          <w14:textFill>
            <w14:solidFill>
              <w14:schemeClr w14:val="tx1"/>
            </w14:solidFill>
          </w14:textFill>
        </w:rPr>
        <w:t xml:space="preserv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4B983697">
      <w:pPr>
        <w:pStyle w:val="2"/>
        <w:spacing w:before="360" w:after="0"/>
        <w:rPr>
          <w:sz w:val="21"/>
          <w:szCs w:val="21"/>
        </w:rPr>
      </w:pPr>
      <w:bookmarkStart w:id="60" w:name="_Toc144196074"/>
      <w:bookmarkStart w:id="61" w:name="_Toc149517463"/>
      <w:r>
        <w:rPr>
          <w:rStyle w:val="53"/>
          <w:sz w:val="21"/>
          <w:szCs w:val="21"/>
        </w:rPr>
        <w:t>CRÉDITOS ORÇAMENTÁRIOS </w:t>
      </w:r>
      <w:bookmarkEnd w:id="60"/>
      <w:bookmarkEnd w:id="61"/>
      <w:r>
        <w:rPr>
          <w:rStyle w:val="53"/>
          <w:sz w:val="21"/>
          <w:szCs w:val="21"/>
        </w:rPr>
        <w:t> </w:t>
      </w:r>
    </w:p>
    <w:p w14:paraId="45D18AA4">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rFonts w:ascii="Times New Roman" w:hAnsi="Times New Roman" w:cs="Arial"/>
          <w:sz w:val="21"/>
          <w:szCs w:val="21"/>
        </w:rPr>
        <w:t>As despesas oriundas da presente aquisição correrão por conta de recursos próprios específicos consignados no orçamento da Câmara Municipal de Primavera do Leste nas dotações orçamentárias relacionadas abaixo:</w:t>
      </w:r>
    </w:p>
    <w:p w14:paraId="1DE3F385">
      <w:pPr>
        <w:pStyle w:val="50"/>
        <w:numPr>
          <w:ilvl w:val="0"/>
          <w:numId w:val="0"/>
        </w:numPr>
        <w:tabs>
          <w:tab w:val="left" w:pos="1134"/>
        </w:tabs>
        <w:spacing w:before="120" w:beforeAutospacing="0" w:after="0" w:afterAutospacing="0"/>
        <w:jc w:val="both"/>
        <w:textAlignment w:val="baseline"/>
        <w:rPr>
          <w:sz w:val="21"/>
          <w:szCs w:val="21"/>
        </w:rPr>
      </w:pPr>
    </w:p>
    <w:tbl>
      <w:tblPr>
        <w:tblStyle w:val="14"/>
        <w:tblW w:w="0" w:type="auto"/>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5" w:type="dxa"/>
          <w:left w:w="55" w:type="dxa"/>
          <w:bottom w:w="55" w:type="dxa"/>
          <w:right w:w="55" w:type="dxa"/>
        </w:tblCellMar>
      </w:tblPr>
      <w:tblGrid>
        <w:gridCol w:w="2160"/>
        <w:gridCol w:w="2657"/>
        <w:gridCol w:w="4256"/>
      </w:tblGrid>
      <w:tr w14:paraId="28A53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60" w:type="dxa"/>
            <w:tcBorders>
              <w:tl2br w:val="nil"/>
              <w:tr2bl w:val="nil"/>
            </w:tcBorders>
            <w:shd w:val="clear" w:color="auto" w:fill="auto"/>
            <w:noWrap w:val="0"/>
            <w:vAlign w:val="top"/>
          </w:tcPr>
          <w:p w14:paraId="07FA211D">
            <w:pPr>
              <w:pStyle w:val="218"/>
              <w:spacing w:line="240" w:lineRule="auto"/>
              <w:rPr>
                <w:rFonts w:hint="default" w:ascii="Times New Roman" w:hAnsi="Times New Roman" w:cs="Times New Roman"/>
                <w:sz w:val="22"/>
                <w:szCs w:val="22"/>
              </w:rPr>
            </w:pPr>
            <w:r>
              <w:rPr>
                <w:rFonts w:hint="default" w:ascii="Times New Roman" w:hAnsi="Times New Roman" w:cs="Times New Roman"/>
                <w:b/>
                <w:bCs/>
                <w:sz w:val="22"/>
                <w:szCs w:val="22"/>
              </w:rPr>
              <w:t>Órgão</w:t>
            </w:r>
          </w:p>
        </w:tc>
        <w:tc>
          <w:tcPr>
            <w:tcW w:w="2657" w:type="dxa"/>
            <w:tcBorders>
              <w:tl2br w:val="nil"/>
              <w:tr2bl w:val="nil"/>
            </w:tcBorders>
            <w:shd w:val="clear" w:color="auto" w:fill="auto"/>
            <w:noWrap w:val="0"/>
            <w:vAlign w:val="top"/>
          </w:tcPr>
          <w:p w14:paraId="25E6778D">
            <w:pPr>
              <w:pStyle w:val="218"/>
              <w:spacing w:line="240" w:lineRule="auto"/>
              <w:rPr>
                <w:rFonts w:hint="default" w:ascii="Times New Roman" w:hAnsi="Times New Roman" w:cs="Times New Roman"/>
                <w:sz w:val="22"/>
                <w:szCs w:val="22"/>
              </w:rPr>
            </w:pPr>
            <w:r>
              <w:rPr>
                <w:rFonts w:hint="default" w:ascii="Times New Roman" w:hAnsi="Times New Roman" w:cs="Times New Roman"/>
                <w:sz w:val="22"/>
                <w:szCs w:val="22"/>
              </w:rPr>
              <w:t>01</w:t>
            </w:r>
          </w:p>
        </w:tc>
        <w:tc>
          <w:tcPr>
            <w:tcW w:w="4256" w:type="dxa"/>
            <w:tcBorders>
              <w:tl2br w:val="nil"/>
              <w:tr2bl w:val="nil"/>
            </w:tcBorders>
            <w:shd w:val="clear" w:color="auto" w:fill="auto"/>
            <w:noWrap w:val="0"/>
            <w:vAlign w:val="top"/>
          </w:tcPr>
          <w:p w14:paraId="6DDA96DA">
            <w:pPr>
              <w:pStyle w:val="218"/>
              <w:spacing w:line="240" w:lineRule="auto"/>
              <w:rPr>
                <w:rFonts w:hint="default" w:ascii="Times New Roman" w:hAnsi="Times New Roman" w:cs="Times New Roman"/>
                <w:sz w:val="22"/>
                <w:szCs w:val="22"/>
              </w:rPr>
            </w:pPr>
            <w:r>
              <w:rPr>
                <w:rFonts w:hint="default" w:ascii="Times New Roman" w:hAnsi="Times New Roman" w:cs="Times New Roman"/>
                <w:sz w:val="22"/>
                <w:szCs w:val="22"/>
              </w:rPr>
              <w:t>CÂMARA MUNICIPAL</w:t>
            </w:r>
          </w:p>
        </w:tc>
      </w:tr>
      <w:tr w14:paraId="2960B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60" w:type="dxa"/>
            <w:tcBorders>
              <w:tl2br w:val="nil"/>
              <w:tr2bl w:val="nil"/>
            </w:tcBorders>
            <w:shd w:val="clear" w:color="auto" w:fill="auto"/>
            <w:noWrap w:val="0"/>
            <w:vAlign w:val="top"/>
          </w:tcPr>
          <w:p w14:paraId="413E51C2">
            <w:pPr>
              <w:pStyle w:val="218"/>
              <w:spacing w:line="240" w:lineRule="auto"/>
              <w:rPr>
                <w:rFonts w:hint="default" w:ascii="Times New Roman" w:hAnsi="Times New Roman" w:cs="Times New Roman"/>
                <w:sz w:val="22"/>
                <w:szCs w:val="22"/>
              </w:rPr>
            </w:pPr>
            <w:r>
              <w:rPr>
                <w:rFonts w:hint="default" w:ascii="Times New Roman" w:hAnsi="Times New Roman" w:cs="Times New Roman"/>
                <w:sz w:val="22"/>
                <w:szCs w:val="22"/>
              </w:rPr>
              <w:t>Unid Orçamentária</w:t>
            </w:r>
          </w:p>
        </w:tc>
        <w:tc>
          <w:tcPr>
            <w:tcW w:w="2657" w:type="dxa"/>
            <w:tcBorders>
              <w:tl2br w:val="nil"/>
              <w:tr2bl w:val="nil"/>
            </w:tcBorders>
            <w:shd w:val="clear" w:color="auto" w:fill="auto"/>
            <w:noWrap w:val="0"/>
            <w:vAlign w:val="top"/>
          </w:tcPr>
          <w:p w14:paraId="6A16BFA4">
            <w:pPr>
              <w:pStyle w:val="218"/>
              <w:spacing w:line="240" w:lineRule="auto"/>
              <w:rPr>
                <w:rFonts w:hint="default" w:ascii="Times New Roman" w:hAnsi="Times New Roman" w:cs="Times New Roman"/>
                <w:sz w:val="22"/>
                <w:szCs w:val="22"/>
              </w:rPr>
            </w:pPr>
            <w:r>
              <w:rPr>
                <w:rFonts w:hint="default" w:ascii="Times New Roman" w:hAnsi="Times New Roman" w:cs="Times New Roman"/>
                <w:sz w:val="22"/>
                <w:szCs w:val="22"/>
              </w:rPr>
              <w:t>01.00.01</w:t>
            </w:r>
          </w:p>
        </w:tc>
        <w:tc>
          <w:tcPr>
            <w:tcW w:w="4256" w:type="dxa"/>
            <w:tcBorders>
              <w:tl2br w:val="nil"/>
              <w:tr2bl w:val="nil"/>
            </w:tcBorders>
            <w:shd w:val="clear" w:color="auto" w:fill="auto"/>
            <w:noWrap w:val="0"/>
            <w:vAlign w:val="top"/>
          </w:tcPr>
          <w:p w14:paraId="594EB8C2">
            <w:pPr>
              <w:pStyle w:val="218"/>
              <w:spacing w:line="240" w:lineRule="auto"/>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14:paraId="4168D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60" w:type="dxa"/>
            <w:tcBorders>
              <w:tl2br w:val="nil"/>
              <w:tr2bl w:val="nil"/>
            </w:tcBorders>
            <w:shd w:val="clear" w:color="auto" w:fill="auto"/>
            <w:noWrap w:val="0"/>
            <w:vAlign w:val="top"/>
          </w:tcPr>
          <w:p w14:paraId="254555F1">
            <w:pPr>
              <w:pStyle w:val="218"/>
              <w:spacing w:line="240" w:lineRule="auto"/>
              <w:rPr>
                <w:rFonts w:hint="default" w:ascii="Times New Roman" w:hAnsi="Times New Roman" w:cs="Times New Roman"/>
                <w:sz w:val="22"/>
                <w:szCs w:val="22"/>
              </w:rPr>
            </w:pPr>
            <w:r>
              <w:rPr>
                <w:rFonts w:hint="default" w:ascii="Times New Roman" w:hAnsi="Times New Roman" w:cs="Times New Roman"/>
                <w:sz w:val="22"/>
                <w:szCs w:val="22"/>
              </w:rPr>
              <w:t>Unidade Executora</w:t>
            </w:r>
          </w:p>
        </w:tc>
        <w:tc>
          <w:tcPr>
            <w:tcW w:w="2657" w:type="dxa"/>
            <w:tcBorders>
              <w:tl2br w:val="nil"/>
              <w:tr2bl w:val="nil"/>
            </w:tcBorders>
            <w:shd w:val="clear" w:color="auto" w:fill="auto"/>
            <w:noWrap w:val="0"/>
            <w:vAlign w:val="top"/>
          </w:tcPr>
          <w:p w14:paraId="2D2C86A5">
            <w:pPr>
              <w:pStyle w:val="218"/>
              <w:spacing w:line="240" w:lineRule="auto"/>
              <w:rPr>
                <w:rFonts w:hint="default" w:ascii="Times New Roman" w:hAnsi="Times New Roman" w:cs="Times New Roman"/>
                <w:sz w:val="22"/>
                <w:szCs w:val="22"/>
              </w:rPr>
            </w:pPr>
            <w:r>
              <w:rPr>
                <w:rFonts w:hint="default" w:ascii="Times New Roman" w:hAnsi="Times New Roman" w:cs="Times New Roman"/>
                <w:sz w:val="22"/>
                <w:szCs w:val="22"/>
              </w:rPr>
              <w:t>01.001</w:t>
            </w:r>
          </w:p>
        </w:tc>
        <w:tc>
          <w:tcPr>
            <w:tcW w:w="4256" w:type="dxa"/>
            <w:tcBorders>
              <w:tl2br w:val="nil"/>
              <w:tr2bl w:val="nil"/>
            </w:tcBorders>
            <w:shd w:val="clear" w:color="auto" w:fill="auto"/>
            <w:noWrap w:val="0"/>
            <w:vAlign w:val="top"/>
          </w:tcPr>
          <w:p w14:paraId="73FFEFBC">
            <w:pPr>
              <w:pStyle w:val="218"/>
              <w:spacing w:line="240" w:lineRule="auto"/>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14:paraId="43349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60" w:type="dxa"/>
            <w:tcBorders>
              <w:tl2br w:val="nil"/>
              <w:tr2bl w:val="nil"/>
            </w:tcBorders>
            <w:shd w:val="clear" w:color="auto" w:fill="auto"/>
            <w:noWrap w:val="0"/>
            <w:vAlign w:val="top"/>
          </w:tcPr>
          <w:p w14:paraId="57A41B4E">
            <w:pPr>
              <w:pStyle w:val="218"/>
              <w:spacing w:line="240" w:lineRule="auto"/>
              <w:rPr>
                <w:rFonts w:hint="default" w:ascii="Times New Roman" w:hAnsi="Times New Roman" w:cs="Times New Roman"/>
                <w:sz w:val="22"/>
                <w:szCs w:val="22"/>
              </w:rPr>
            </w:pPr>
            <w:r>
              <w:rPr>
                <w:rFonts w:hint="default" w:ascii="Times New Roman" w:hAnsi="Times New Roman" w:cs="Times New Roman"/>
                <w:sz w:val="22"/>
                <w:szCs w:val="22"/>
              </w:rPr>
              <w:t>Função programática</w:t>
            </w:r>
          </w:p>
        </w:tc>
        <w:tc>
          <w:tcPr>
            <w:tcW w:w="2657" w:type="dxa"/>
            <w:tcBorders>
              <w:tl2br w:val="nil"/>
              <w:tr2bl w:val="nil"/>
            </w:tcBorders>
            <w:shd w:val="clear" w:color="auto" w:fill="auto"/>
            <w:noWrap w:val="0"/>
            <w:vAlign w:val="top"/>
          </w:tcPr>
          <w:p w14:paraId="2BAA5CB0">
            <w:pPr>
              <w:pStyle w:val="218"/>
              <w:spacing w:line="240" w:lineRule="auto"/>
              <w:rPr>
                <w:rFonts w:hint="default" w:ascii="Times New Roman" w:hAnsi="Times New Roman" w:cs="Times New Roman"/>
                <w:sz w:val="22"/>
                <w:szCs w:val="22"/>
              </w:rPr>
            </w:pPr>
            <w:r>
              <w:rPr>
                <w:rFonts w:hint="default" w:ascii="Times New Roman" w:hAnsi="Times New Roman" w:cs="Times New Roman"/>
                <w:sz w:val="22"/>
                <w:szCs w:val="22"/>
              </w:rPr>
              <w:t>01.031.0001-2.003</w:t>
            </w:r>
          </w:p>
        </w:tc>
        <w:tc>
          <w:tcPr>
            <w:tcW w:w="4256" w:type="dxa"/>
            <w:tcBorders>
              <w:tl2br w:val="nil"/>
              <w:tr2bl w:val="nil"/>
            </w:tcBorders>
            <w:shd w:val="clear" w:color="auto" w:fill="auto"/>
            <w:noWrap w:val="0"/>
            <w:vAlign w:val="top"/>
          </w:tcPr>
          <w:p w14:paraId="6543C7D4">
            <w:pPr>
              <w:pStyle w:val="218"/>
              <w:spacing w:line="240" w:lineRule="auto"/>
              <w:rPr>
                <w:rFonts w:hint="default" w:ascii="Times New Roman" w:hAnsi="Times New Roman" w:cs="Times New Roman"/>
                <w:sz w:val="22"/>
                <w:szCs w:val="22"/>
              </w:rPr>
            </w:pPr>
            <w:r>
              <w:rPr>
                <w:rFonts w:hint="default" w:ascii="Times New Roman" w:hAnsi="Times New Roman" w:cs="Times New Roman"/>
                <w:sz w:val="22"/>
                <w:szCs w:val="22"/>
              </w:rPr>
              <w:t>MANUTENÇÃO DA AÇÃO LEGISLATIVA</w:t>
            </w:r>
          </w:p>
        </w:tc>
      </w:tr>
      <w:tr w14:paraId="1772A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60" w:type="dxa"/>
            <w:tcBorders>
              <w:tl2br w:val="nil"/>
              <w:tr2bl w:val="nil"/>
            </w:tcBorders>
            <w:shd w:val="clear" w:color="auto" w:fill="auto"/>
            <w:noWrap w:val="0"/>
            <w:vAlign w:val="top"/>
          </w:tcPr>
          <w:p w14:paraId="7AC61B97">
            <w:pPr>
              <w:pStyle w:val="218"/>
              <w:spacing w:line="240" w:lineRule="auto"/>
              <w:rPr>
                <w:rFonts w:hint="default" w:ascii="Times New Roman" w:hAnsi="Times New Roman" w:cs="Times New Roman"/>
                <w:sz w:val="22"/>
                <w:szCs w:val="22"/>
              </w:rPr>
            </w:pPr>
            <w:r>
              <w:rPr>
                <w:rFonts w:hint="default" w:ascii="Times New Roman" w:hAnsi="Times New Roman" w:cs="Times New Roman"/>
                <w:sz w:val="22"/>
                <w:szCs w:val="22"/>
              </w:rPr>
              <w:t>Elemento</w:t>
            </w:r>
          </w:p>
        </w:tc>
        <w:tc>
          <w:tcPr>
            <w:tcW w:w="2657" w:type="dxa"/>
            <w:tcBorders>
              <w:tl2br w:val="nil"/>
              <w:tr2bl w:val="nil"/>
            </w:tcBorders>
            <w:shd w:val="clear" w:color="auto" w:fill="auto"/>
            <w:noWrap w:val="0"/>
            <w:vAlign w:val="top"/>
          </w:tcPr>
          <w:p w14:paraId="3748A1A2">
            <w:pPr>
              <w:pStyle w:val="218"/>
              <w:spacing w:line="240" w:lineRule="auto"/>
              <w:rPr>
                <w:rFonts w:hint="default" w:ascii="Times New Roman" w:hAnsi="Times New Roman" w:cs="Times New Roman"/>
                <w:sz w:val="22"/>
                <w:szCs w:val="22"/>
              </w:rPr>
            </w:pPr>
            <w:r>
              <w:rPr>
                <w:rFonts w:hint="default" w:ascii="Times New Roman" w:hAnsi="Times New Roman" w:cs="Times New Roman"/>
                <w:sz w:val="22"/>
                <w:szCs w:val="22"/>
              </w:rPr>
              <w:t>3.3.90.39.00</w:t>
            </w:r>
          </w:p>
        </w:tc>
        <w:tc>
          <w:tcPr>
            <w:tcW w:w="4256" w:type="dxa"/>
            <w:tcBorders>
              <w:tl2br w:val="nil"/>
              <w:tr2bl w:val="nil"/>
            </w:tcBorders>
            <w:shd w:val="clear" w:color="auto" w:fill="auto"/>
            <w:noWrap w:val="0"/>
            <w:vAlign w:val="top"/>
          </w:tcPr>
          <w:p w14:paraId="0962384A">
            <w:pPr>
              <w:pStyle w:val="218"/>
              <w:spacing w:line="240" w:lineRule="auto"/>
              <w:rPr>
                <w:rFonts w:hint="default" w:ascii="Times New Roman" w:hAnsi="Times New Roman" w:cs="Times New Roman"/>
                <w:sz w:val="22"/>
                <w:szCs w:val="22"/>
              </w:rPr>
            </w:pPr>
            <w:r>
              <w:rPr>
                <w:rFonts w:hint="default" w:ascii="Times New Roman" w:hAnsi="Times New Roman" w:cs="Times New Roman"/>
                <w:sz w:val="22"/>
                <w:szCs w:val="22"/>
              </w:rPr>
              <w:t>OUTROS SERVIÇOS DE TERCEIROS – PESSOA JURÍDICA</w:t>
            </w:r>
          </w:p>
        </w:tc>
      </w:tr>
    </w:tbl>
    <w:p w14:paraId="5C84DFDC">
      <w:pPr>
        <w:pStyle w:val="32"/>
        <w:keepNext w:val="0"/>
        <w:keepLines w:val="0"/>
        <w:widowControl/>
        <w:suppressLineNumbers w:val="0"/>
        <w:spacing w:before="0" w:beforeAutospacing="1" w:after="0" w:afterAutospacing="0" w:line="240" w:lineRule="auto"/>
        <w:ind w:left="0" w:right="0"/>
        <w:jc w:val="both"/>
        <w:rPr>
          <w:rFonts w:hint="default" w:ascii="Times New Roman" w:hAnsi="Times New Roman" w:cs="Times New Roman"/>
          <w:sz w:val="22"/>
          <w:szCs w:val="22"/>
        </w:rPr>
      </w:pPr>
    </w:p>
    <w:tbl>
      <w:tblPr>
        <w:tblStyle w:val="14"/>
        <w:tblW w:w="9015"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60" w:type="dxa"/>
          <w:left w:w="60" w:type="dxa"/>
          <w:bottom w:w="60" w:type="dxa"/>
          <w:right w:w="60" w:type="dxa"/>
        </w:tblCellMar>
      </w:tblPr>
      <w:tblGrid>
        <w:gridCol w:w="2410"/>
        <w:gridCol w:w="2301"/>
        <w:gridCol w:w="4304"/>
      </w:tblGrid>
      <w:tr w14:paraId="2202F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0" w:type="dxa"/>
            <w:left w:w="60" w:type="dxa"/>
            <w:bottom w:w="60" w:type="dxa"/>
            <w:right w:w="60" w:type="dxa"/>
          </w:tblCellMar>
        </w:tblPrEx>
        <w:trPr>
          <w:tblCellSpacing w:w="0" w:type="dxa"/>
        </w:trPr>
        <w:tc>
          <w:tcPr>
            <w:tcW w:w="2310" w:type="dxa"/>
            <w:tcBorders>
              <w:top w:val="single" w:color="000000" w:sz="6" w:space="0"/>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44A3752C">
            <w:pPr>
              <w:pStyle w:val="32"/>
              <w:keepNext w:val="0"/>
              <w:keepLines w:val="0"/>
              <w:widowControl/>
              <w:suppressLineNumbers w:val="0"/>
              <w:spacing w:line="240" w:lineRule="auto"/>
              <w:rPr>
                <w:rFonts w:hint="default" w:ascii="Times New Roman" w:hAnsi="Times New Roman" w:cs="Times New Roman"/>
                <w:sz w:val="22"/>
                <w:szCs w:val="22"/>
              </w:rPr>
            </w:pPr>
            <w:r>
              <w:rPr>
                <w:rFonts w:hint="default" w:ascii="Times New Roman" w:hAnsi="Times New Roman" w:cs="Times New Roman"/>
                <w:b/>
                <w:bCs/>
                <w:sz w:val="22"/>
                <w:szCs w:val="22"/>
              </w:rPr>
              <w:t>Órgão</w:t>
            </w:r>
          </w:p>
        </w:tc>
        <w:tc>
          <w:tcPr>
            <w:tcW w:w="2205" w:type="dxa"/>
            <w:tcBorders>
              <w:top w:val="single" w:color="000000" w:sz="6" w:space="0"/>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703D567A">
            <w:pPr>
              <w:pStyle w:val="32"/>
              <w:keepNext w:val="0"/>
              <w:keepLines w:val="0"/>
              <w:widowControl/>
              <w:suppressLineNumbers w:val="0"/>
              <w:spacing w:line="240" w:lineRule="auto"/>
              <w:rPr>
                <w:rFonts w:hint="default" w:ascii="Times New Roman" w:hAnsi="Times New Roman" w:cs="Times New Roman"/>
                <w:sz w:val="22"/>
                <w:szCs w:val="22"/>
              </w:rPr>
            </w:pPr>
            <w:r>
              <w:rPr>
                <w:rFonts w:hint="default" w:ascii="Times New Roman" w:hAnsi="Times New Roman" w:cs="Times New Roman"/>
                <w:b/>
                <w:bCs/>
                <w:sz w:val="22"/>
                <w:szCs w:val="22"/>
              </w:rPr>
              <w:t>01</w:t>
            </w:r>
          </w:p>
        </w:tc>
        <w:tc>
          <w:tcPr>
            <w:tcW w:w="412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0ADE28C">
            <w:pPr>
              <w:pStyle w:val="32"/>
              <w:keepNext w:val="0"/>
              <w:keepLines w:val="0"/>
              <w:widowControl/>
              <w:suppressLineNumbers w:val="0"/>
              <w:spacing w:line="240" w:lineRule="auto"/>
              <w:rPr>
                <w:rFonts w:hint="default" w:ascii="Times New Roman" w:hAnsi="Times New Roman" w:cs="Times New Roman"/>
                <w:sz w:val="22"/>
                <w:szCs w:val="22"/>
              </w:rPr>
            </w:pPr>
            <w:r>
              <w:rPr>
                <w:rFonts w:hint="default" w:ascii="Times New Roman" w:hAnsi="Times New Roman" w:cs="Times New Roman"/>
                <w:b/>
                <w:bCs/>
                <w:sz w:val="22"/>
                <w:szCs w:val="22"/>
              </w:rPr>
              <w:t>CÂMARA MUNICIPAL</w:t>
            </w:r>
          </w:p>
        </w:tc>
      </w:tr>
      <w:tr w14:paraId="43F32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0" w:type="dxa"/>
            <w:left w:w="60" w:type="dxa"/>
            <w:bottom w:w="60" w:type="dxa"/>
            <w:right w:w="60" w:type="dxa"/>
          </w:tblCellMar>
        </w:tblPrEx>
        <w:trPr>
          <w:tblCellSpacing w:w="0" w:type="dxa"/>
        </w:trPr>
        <w:tc>
          <w:tcPr>
            <w:tcW w:w="231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2AEE1ECD">
            <w:pPr>
              <w:pStyle w:val="32"/>
              <w:keepNext w:val="0"/>
              <w:keepLines w:val="0"/>
              <w:widowControl/>
              <w:suppressLineNumbers w:val="0"/>
              <w:spacing w:line="240" w:lineRule="auto"/>
              <w:rPr>
                <w:rFonts w:hint="default" w:ascii="Times New Roman" w:hAnsi="Times New Roman" w:cs="Times New Roman"/>
                <w:sz w:val="22"/>
                <w:szCs w:val="22"/>
              </w:rPr>
            </w:pPr>
            <w:r>
              <w:rPr>
                <w:rFonts w:hint="default" w:ascii="Times New Roman" w:hAnsi="Times New Roman" w:cs="Times New Roman"/>
                <w:sz w:val="22"/>
                <w:szCs w:val="22"/>
              </w:rPr>
              <w:t>Unidade Orçamentária</w:t>
            </w:r>
          </w:p>
        </w:tc>
        <w:tc>
          <w:tcPr>
            <w:tcW w:w="220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604B9BFD">
            <w:pPr>
              <w:pStyle w:val="32"/>
              <w:keepNext w:val="0"/>
              <w:keepLines w:val="0"/>
              <w:widowControl/>
              <w:suppressLineNumbers w:val="0"/>
              <w:spacing w:line="240" w:lineRule="auto"/>
              <w:rPr>
                <w:rFonts w:hint="default" w:ascii="Times New Roman" w:hAnsi="Times New Roman" w:cs="Times New Roman"/>
                <w:sz w:val="22"/>
                <w:szCs w:val="22"/>
              </w:rPr>
            </w:pPr>
            <w:r>
              <w:rPr>
                <w:rFonts w:hint="default" w:ascii="Times New Roman" w:hAnsi="Times New Roman" w:cs="Times New Roman"/>
                <w:sz w:val="22"/>
                <w:szCs w:val="22"/>
              </w:rPr>
              <w:t>01.00.01</w:t>
            </w:r>
          </w:p>
        </w:tc>
        <w:tc>
          <w:tcPr>
            <w:tcW w:w="41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BBB57CB">
            <w:pPr>
              <w:pStyle w:val="32"/>
              <w:keepNext w:val="0"/>
              <w:keepLines w:val="0"/>
              <w:widowControl/>
              <w:suppressLineNumbers w:val="0"/>
              <w:spacing w:line="240" w:lineRule="auto"/>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14:paraId="2EF6D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231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51C01614">
            <w:pPr>
              <w:pStyle w:val="32"/>
              <w:keepNext w:val="0"/>
              <w:keepLines w:val="0"/>
              <w:widowControl/>
              <w:suppressLineNumbers w:val="0"/>
              <w:spacing w:line="240" w:lineRule="auto"/>
              <w:rPr>
                <w:rFonts w:hint="default" w:ascii="Times New Roman" w:hAnsi="Times New Roman" w:cs="Times New Roman"/>
                <w:sz w:val="22"/>
                <w:szCs w:val="22"/>
              </w:rPr>
            </w:pPr>
            <w:r>
              <w:rPr>
                <w:rFonts w:hint="default" w:ascii="Times New Roman" w:hAnsi="Times New Roman" w:cs="Times New Roman"/>
                <w:sz w:val="22"/>
                <w:szCs w:val="22"/>
              </w:rPr>
              <w:t>Unidade Executora</w:t>
            </w:r>
          </w:p>
        </w:tc>
        <w:tc>
          <w:tcPr>
            <w:tcW w:w="220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784AA239">
            <w:pPr>
              <w:pStyle w:val="32"/>
              <w:keepNext w:val="0"/>
              <w:keepLines w:val="0"/>
              <w:widowControl/>
              <w:suppressLineNumbers w:val="0"/>
              <w:spacing w:line="240" w:lineRule="auto"/>
              <w:rPr>
                <w:rFonts w:hint="default" w:ascii="Times New Roman" w:hAnsi="Times New Roman" w:cs="Times New Roman"/>
                <w:sz w:val="22"/>
                <w:szCs w:val="22"/>
              </w:rPr>
            </w:pPr>
            <w:r>
              <w:rPr>
                <w:rFonts w:hint="default" w:ascii="Times New Roman" w:hAnsi="Times New Roman" w:cs="Times New Roman"/>
                <w:sz w:val="22"/>
                <w:szCs w:val="22"/>
              </w:rPr>
              <w:t>01.001</w:t>
            </w:r>
          </w:p>
        </w:tc>
        <w:tc>
          <w:tcPr>
            <w:tcW w:w="41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5A7247A">
            <w:pPr>
              <w:pStyle w:val="32"/>
              <w:keepNext w:val="0"/>
              <w:keepLines w:val="0"/>
              <w:widowControl/>
              <w:suppressLineNumbers w:val="0"/>
              <w:spacing w:line="240" w:lineRule="auto"/>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14:paraId="7E080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0" w:type="dxa"/>
            <w:left w:w="60" w:type="dxa"/>
            <w:bottom w:w="60" w:type="dxa"/>
            <w:right w:w="60" w:type="dxa"/>
          </w:tblCellMar>
        </w:tblPrEx>
        <w:trPr>
          <w:tblCellSpacing w:w="0" w:type="dxa"/>
        </w:trPr>
        <w:tc>
          <w:tcPr>
            <w:tcW w:w="231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5C6A6789">
            <w:pPr>
              <w:pStyle w:val="32"/>
              <w:keepNext w:val="0"/>
              <w:keepLines w:val="0"/>
              <w:widowControl/>
              <w:suppressLineNumbers w:val="0"/>
              <w:spacing w:line="240" w:lineRule="auto"/>
              <w:rPr>
                <w:rFonts w:hint="default" w:ascii="Times New Roman" w:hAnsi="Times New Roman" w:cs="Times New Roman"/>
                <w:sz w:val="22"/>
                <w:szCs w:val="22"/>
              </w:rPr>
            </w:pPr>
            <w:r>
              <w:rPr>
                <w:rFonts w:hint="default" w:ascii="Times New Roman" w:hAnsi="Times New Roman" w:cs="Times New Roman"/>
                <w:sz w:val="22"/>
                <w:szCs w:val="22"/>
              </w:rPr>
              <w:t>Função programática</w:t>
            </w:r>
          </w:p>
        </w:tc>
        <w:tc>
          <w:tcPr>
            <w:tcW w:w="220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05D5B67E">
            <w:pPr>
              <w:pStyle w:val="32"/>
              <w:keepNext w:val="0"/>
              <w:keepLines w:val="0"/>
              <w:widowControl/>
              <w:suppressLineNumbers w:val="0"/>
              <w:spacing w:line="240" w:lineRule="auto"/>
              <w:rPr>
                <w:rFonts w:hint="default" w:ascii="Times New Roman" w:hAnsi="Times New Roman" w:cs="Times New Roman"/>
                <w:sz w:val="22"/>
                <w:szCs w:val="22"/>
              </w:rPr>
            </w:pPr>
            <w:r>
              <w:rPr>
                <w:rFonts w:hint="default" w:ascii="Times New Roman" w:hAnsi="Times New Roman" w:cs="Times New Roman"/>
                <w:sz w:val="22"/>
                <w:szCs w:val="22"/>
              </w:rPr>
              <w:t>01.031.001-2.001</w:t>
            </w:r>
          </w:p>
        </w:tc>
        <w:tc>
          <w:tcPr>
            <w:tcW w:w="41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A612415">
            <w:pPr>
              <w:pStyle w:val="32"/>
              <w:keepNext w:val="0"/>
              <w:keepLines w:val="0"/>
              <w:widowControl/>
              <w:suppressLineNumbers w:val="0"/>
              <w:spacing w:line="240" w:lineRule="auto"/>
              <w:rPr>
                <w:rFonts w:hint="default" w:ascii="Times New Roman" w:hAnsi="Times New Roman" w:cs="Times New Roman"/>
                <w:sz w:val="22"/>
                <w:szCs w:val="22"/>
              </w:rPr>
            </w:pPr>
            <w:r>
              <w:rPr>
                <w:rFonts w:hint="default" w:ascii="Times New Roman" w:hAnsi="Times New Roman" w:cs="Times New Roman"/>
                <w:sz w:val="22"/>
                <w:szCs w:val="22"/>
              </w:rPr>
              <w:t>MANUTENÇÃO DEPARTAMENTO ADMINISTRATIVO DA CÂMARA MUNICIPAL</w:t>
            </w:r>
          </w:p>
        </w:tc>
      </w:tr>
      <w:tr w14:paraId="2A161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0" w:type="dxa"/>
            <w:left w:w="60" w:type="dxa"/>
            <w:bottom w:w="60" w:type="dxa"/>
            <w:right w:w="60" w:type="dxa"/>
          </w:tblCellMar>
        </w:tblPrEx>
        <w:trPr>
          <w:tblCellSpacing w:w="0" w:type="dxa"/>
        </w:trPr>
        <w:tc>
          <w:tcPr>
            <w:tcW w:w="231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72C5F8D1">
            <w:pPr>
              <w:pStyle w:val="32"/>
              <w:keepNext w:val="0"/>
              <w:keepLines w:val="0"/>
              <w:widowControl/>
              <w:suppressLineNumbers w:val="0"/>
              <w:spacing w:line="240" w:lineRule="auto"/>
              <w:rPr>
                <w:rFonts w:hint="default" w:ascii="Times New Roman" w:hAnsi="Times New Roman" w:cs="Times New Roman"/>
                <w:sz w:val="22"/>
                <w:szCs w:val="22"/>
              </w:rPr>
            </w:pPr>
            <w:r>
              <w:rPr>
                <w:rFonts w:hint="default" w:ascii="Times New Roman" w:hAnsi="Times New Roman" w:cs="Times New Roman"/>
                <w:sz w:val="22"/>
                <w:szCs w:val="22"/>
              </w:rPr>
              <w:t>Elemento</w:t>
            </w:r>
          </w:p>
        </w:tc>
        <w:tc>
          <w:tcPr>
            <w:tcW w:w="220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3FB07DFD">
            <w:pPr>
              <w:pStyle w:val="32"/>
              <w:keepNext w:val="0"/>
              <w:keepLines w:val="0"/>
              <w:widowControl/>
              <w:suppressLineNumbers w:val="0"/>
              <w:spacing w:line="240" w:lineRule="auto"/>
              <w:rPr>
                <w:rFonts w:hint="default" w:ascii="Times New Roman" w:hAnsi="Times New Roman" w:cs="Times New Roman"/>
                <w:sz w:val="22"/>
                <w:szCs w:val="22"/>
              </w:rPr>
            </w:pPr>
            <w:r>
              <w:rPr>
                <w:rFonts w:hint="default" w:ascii="Times New Roman" w:hAnsi="Times New Roman" w:cs="Times New Roman"/>
                <w:sz w:val="22"/>
                <w:szCs w:val="22"/>
              </w:rPr>
              <w:t>0009.3.3.90.30.00-1500</w:t>
            </w:r>
          </w:p>
        </w:tc>
        <w:tc>
          <w:tcPr>
            <w:tcW w:w="41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60D5FB7">
            <w:pPr>
              <w:pStyle w:val="32"/>
              <w:keepNext w:val="0"/>
              <w:keepLines w:val="0"/>
              <w:widowControl/>
              <w:suppressLineNumbers w:val="0"/>
              <w:spacing w:line="240" w:lineRule="auto"/>
              <w:rPr>
                <w:rFonts w:hint="default" w:ascii="Times New Roman" w:hAnsi="Times New Roman" w:cs="Times New Roman"/>
                <w:sz w:val="22"/>
                <w:szCs w:val="22"/>
              </w:rPr>
            </w:pPr>
            <w:r>
              <w:rPr>
                <w:rFonts w:hint="default" w:ascii="Times New Roman" w:hAnsi="Times New Roman" w:cs="Times New Roman"/>
                <w:sz w:val="22"/>
                <w:szCs w:val="22"/>
              </w:rPr>
              <w:t>MATERIAL DE CONSUMO</w:t>
            </w:r>
          </w:p>
        </w:tc>
      </w:tr>
    </w:tbl>
    <w:p w14:paraId="784C5E05">
      <w:pPr>
        <w:spacing w:line="100" w:lineRule="atLeast"/>
        <w:jc w:val="both"/>
        <w:rPr>
          <w:rFonts w:hint="default" w:ascii="Times New Roman" w:hAnsi="Times New Roman" w:eastAsia="Times New Roman" w:cs="Times New Roman"/>
          <w:sz w:val="22"/>
          <w:szCs w:val="22"/>
          <w:lang w:eastAsia="en-US"/>
        </w:rPr>
      </w:pPr>
    </w:p>
    <w:p w14:paraId="1C5CB6D4">
      <w:pPr>
        <w:pStyle w:val="50"/>
        <w:numPr>
          <w:ilvl w:val="1"/>
          <w:numId w:val="1"/>
        </w:numPr>
        <w:tabs>
          <w:tab w:val="left" w:pos="1134"/>
        </w:tabs>
        <w:spacing w:before="120" w:beforeAutospacing="0" w:after="0" w:afterAutospacing="0"/>
        <w:ind w:left="-87" w:leftChars="0" w:firstLine="567" w:firstLineChars="0"/>
        <w:jc w:val="both"/>
        <w:textAlignment w:val="baseline"/>
        <w:rPr>
          <w:sz w:val="21"/>
          <w:szCs w:val="21"/>
        </w:rPr>
      </w:pPr>
      <w:r>
        <w:rPr>
          <w:color w:val="000000"/>
          <w:sz w:val="21"/>
          <w:szCs w:val="21"/>
        </w:rPr>
        <w:t xml:space="preserve">Em </w:t>
      </w:r>
      <w:r>
        <w:rPr>
          <w:rStyle w:val="53"/>
          <w:color w:val="000000" w:themeColor="text1"/>
          <w:sz w:val="21"/>
          <w:szCs w:val="21"/>
          <w14:textFill>
            <w14:solidFill>
              <w14:schemeClr w14:val="tx1"/>
            </w14:solidFill>
          </w14:textFill>
        </w:rPr>
        <w:t>caso</w:t>
      </w:r>
      <w:r>
        <w:rPr>
          <w:color w:val="000000"/>
          <w:sz w:val="21"/>
          <w:szCs w:val="21"/>
        </w:rPr>
        <w:t xml:space="preserve"> de </w:t>
      </w:r>
      <w:r>
        <w:rPr>
          <w:rStyle w:val="53"/>
          <w:color w:val="000000" w:themeColor="text1"/>
          <w:sz w:val="21"/>
          <w:szCs w:val="21"/>
          <w14:textFill>
            <w14:solidFill>
              <w14:schemeClr w14:val="tx1"/>
            </w14:solidFill>
          </w14:textFill>
        </w:rPr>
        <w:t>divergência</w:t>
      </w:r>
      <w:r>
        <w:rPr>
          <w:color w:val="000000"/>
          <w:sz w:val="21"/>
          <w:szCs w:val="21"/>
        </w:rPr>
        <w:t xml:space="preserve"> existente entre as especificações descritas no </w:t>
      </w:r>
      <w:r>
        <w:rPr>
          <w:sz w:val="21"/>
          <w:szCs w:val="21"/>
        </w:rPr>
        <w:t>Portal Licitanet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color w:val="000000"/>
          <w:sz w:val="21"/>
          <w:szCs w:val="21"/>
        </w:rPr>
        <w:t>) e as especificações constantes deste Edital, prevalecerão as últimas.</w:t>
      </w:r>
    </w:p>
    <w:p w14:paraId="0B97915B">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Todas </w:t>
      </w:r>
      <w:r>
        <w:rPr>
          <w:rStyle w:val="53"/>
          <w:color w:val="000000" w:themeColor="text1"/>
          <w:sz w:val="21"/>
          <w:szCs w:val="21"/>
          <w14:textFill>
            <w14:solidFill>
              <w14:schemeClr w14:val="tx1"/>
            </w14:solidFill>
          </w14:textFill>
        </w:rPr>
        <w:t>as</w:t>
      </w:r>
      <w:r>
        <w:rPr>
          <w:color w:val="000000"/>
          <w:sz w:val="21"/>
          <w:szCs w:val="21"/>
        </w:rPr>
        <w:t xml:space="preserve"> referências de tempo no Edital, no aviso e durante a sessão pública observarão o horário de </w:t>
      </w:r>
      <w:r>
        <w:rPr>
          <w:rStyle w:val="53"/>
          <w:color w:val="000000" w:themeColor="text1"/>
          <w:sz w:val="21"/>
          <w:szCs w:val="21"/>
          <w14:textFill>
            <w14:solidFill>
              <w14:schemeClr w14:val="tx1"/>
            </w14:solidFill>
          </w14:textFill>
        </w:rPr>
        <w:t>Brasília</w:t>
      </w:r>
      <w:r>
        <w:rPr>
          <w:color w:val="000000"/>
          <w:sz w:val="21"/>
          <w:szCs w:val="21"/>
        </w:rPr>
        <w:t xml:space="preserve"> / DF.</w:t>
      </w:r>
    </w:p>
    <w:p w14:paraId="5C76A420">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O </w:t>
      </w:r>
      <w:r>
        <w:rPr>
          <w:rStyle w:val="53"/>
          <w:color w:val="000000" w:themeColor="text1"/>
          <w:sz w:val="21"/>
          <w:szCs w:val="21"/>
          <w14:textFill>
            <w14:solidFill>
              <w14:schemeClr w14:val="tx1"/>
            </w14:solidFill>
          </w14:textFill>
        </w:rPr>
        <w:t>licitante</w:t>
      </w:r>
      <w:r>
        <w:rPr>
          <w:color w:val="000000"/>
          <w:sz w:val="21"/>
          <w:szCs w:val="21"/>
        </w:rPr>
        <w:t xml:space="preserve"> será responsável por todas as transações que forem efetuadas em seu nome no sistema eletrônico, assumindo como firmes e verdadeiras suas propostas e lances.</w:t>
      </w:r>
    </w:p>
    <w:p w14:paraId="4AF6AE83">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Incumbirá ao licitante acompanhar as operações no sistema eletrônico durante a sessão pública deste </w:t>
      </w:r>
      <w:r>
        <w:rPr>
          <w:rStyle w:val="53"/>
          <w:color w:val="000000" w:themeColor="text1"/>
          <w:sz w:val="21"/>
          <w:szCs w:val="21"/>
          <w14:textFill>
            <w14:solidFill>
              <w14:schemeClr w14:val="tx1"/>
            </w14:solidFill>
          </w14:textFill>
        </w:rPr>
        <w:t>Pregão</w:t>
      </w:r>
      <w:r>
        <w:rPr>
          <w:color w:val="000000"/>
          <w:sz w:val="21"/>
          <w:szCs w:val="21"/>
        </w:rPr>
        <w:t>, ficando responsável pelo ônus decorrente da perda de negócios, diante da inobservância de quaisquer mensagens emitidas pelo sistema ou de sua desconexão.</w:t>
      </w:r>
    </w:p>
    <w:p w14:paraId="516C43D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No julgamento das propostas e da habilitação, o </w:t>
      </w:r>
      <w:r>
        <w:rPr>
          <w:sz w:val="21"/>
          <w:szCs w:val="21"/>
        </w:rPr>
        <w:t>Pregoeiro</w:t>
      </w:r>
      <w:r>
        <w:rPr>
          <w:color w:val="000000"/>
          <w:sz w:val="21"/>
          <w:szCs w:val="21"/>
        </w:rPr>
        <w:t xml:space="preserve">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26D7B66B">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É facultado ao(à) </w:t>
      </w:r>
      <w:r>
        <w:rPr>
          <w:sz w:val="21"/>
          <w:szCs w:val="21"/>
        </w:rPr>
        <w:t>Pregoeiro</w:t>
      </w:r>
      <w:r>
        <w:rPr>
          <w:color w:val="000000"/>
          <w:sz w:val="21"/>
          <w:szCs w:val="21"/>
        </w:rPr>
        <w:t xml:space="preserve"> e seus auxiliares proceder, em qualquer fase da licitação, diligências destinadas a esclarecer ou a complementar a instrução do processo, vedada a inclusão posterior de documento ou informação que deveria constar originalmente da proposta.</w:t>
      </w:r>
    </w:p>
    <w:p w14:paraId="41993B62">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A homologação do resultado desta licitação não implicará direito à contratação.</w:t>
      </w:r>
    </w:p>
    <w:p w14:paraId="7F1D024D">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Será divulgada ata da sessão pública no </w:t>
      </w:r>
      <w:r>
        <w:rPr>
          <w:sz w:val="21"/>
          <w:szCs w:val="21"/>
        </w:rPr>
        <w:t>Portal Licitanet (</w:t>
      </w:r>
      <w:r>
        <w:rPr>
          <w:sz w:val="21"/>
          <w:szCs w:val="21"/>
        </w:rPr>
        <w:fldChar w:fldCharType="begin"/>
      </w:r>
      <w:r>
        <w:rPr>
          <w:sz w:val="21"/>
          <w:szCs w:val="21"/>
        </w:rPr>
        <w:instrText xml:space="preserve"> HYPERLINK "https://www.licitanet.com.br/" \h </w:instrText>
      </w:r>
      <w:r>
        <w:rPr>
          <w:sz w:val="21"/>
          <w:szCs w:val="21"/>
        </w:rPr>
        <w:fldChar w:fldCharType="separate"/>
      </w:r>
      <w:r>
        <w:rPr>
          <w:rStyle w:val="62"/>
          <w:sz w:val="21"/>
          <w:szCs w:val="21"/>
        </w:rPr>
        <w:t>https://www.licitanet.com.br/</w:t>
      </w:r>
      <w:r>
        <w:rPr>
          <w:rStyle w:val="62"/>
          <w:sz w:val="21"/>
          <w:szCs w:val="21"/>
        </w:rPr>
        <w:fldChar w:fldCharType="end"/>
      </w:r>
      <w:r>
        <w:rPr>
          <w:color w:val="000000"/>
          <w:sz w:val="21"/>
          <w:szCs w:val="21"/>
        </w:rPr>
        <w:t>).</w:t>
      </w:r>
    </w:p>
    <w:p w14:paraId="11D16A1E">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Os interessados/licitantes obrigam-se ao acompanhamento das informações disponibilizadas, não podendo alegar seu desconhecimento.</w:t>
      </w:r>
    </w:p>
    <w:p w14:paraId="7356FF5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FF21E52">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Os licitantes assumem todos os custos de preparação e apresentação de suas propostas e a Administração não será, em nenhum caso, responsável por esses custos, independentemente da condução ou do resultado do processo licitatório.</w:t>
      </w:r>
    </w:p>
    <w:p w14:paraId="4BB02C9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Na contagem dos prazos estabelecidos neste Edital e seus Anexos, excluir-se-á o dia do início e incluir-se-á o do vencimento. Só se iniciam e vencem os prazos em dias de expediente na Administração.</w:t>
      </w:r>
    </w:p>
    <w:p w14:paraId="02A2BAF7">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O desatendimento de exigências formais não essenciais não importará o afastamento do licitante, desde que seja possível o aproveitamento do ato, observados os princípios da isonomia e do interesse público.</w:t>
      </w:r>
    </w:p>
    <w:p w14:paraId="0E1BF94E">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Nenhuma </w:t>
      </w:r>
      <w:r>
        <w:rPr>
          <w:rStyle w:val="53"/>
          <w:color w:val="000000" w:themeColor="text1"/>
          <w:sz w:val="21"/>
          <w:szCs w:val="21"/>
          <w14:textFill>
            <w14:solidFill>
              <w14:schemeClr w14:val="tx1"/>
            </w14:solidFill>
          </w14:textFill>
        </w:rPr>
        <w:t>indenização</w:t>
      </w:r>
      <w:r>
        <w:rPr>
          <w:color w:val="000000"/>
          <w:sz w:val="21"/>
          <w:szCs w:val="21"/>
        </w:rPr>
        <w:t xml:space="preserve"> será devida às licitantes por apresentarem documentação e/ou elaborarem proposta relativa ao presente </w:t>
      </w:r>
      <w:r>
        <w:rPr>
          <w:rStyle w:val="53"/>
          <w:color w:val="000000" w:themeColor="text1"/>
          <w:sz w:val="21"/>
          <w:szCs w:val="21"/>
          <w14:textFill>
            <w14:solidFill>
              <w14:schemeClr w14:val="tx1"/>
            </w14:solidFill>
          </w14:textFill>
        </w:rPr>
        <w:t>Pregão</w:t>
      </w:r>
      <w:r>
        <w:rPr>
          <w:color w:val="000000"/>
          <w:sz w:val="21"/>
          <w:szCs w:val="21"/>
        </w:rPr>
        <w:t>.</w:t>
      </w:r>
    </w:p>
    <w:p w14:paraId="157E64AA">
      <w:pPr>
        <w:pStyle w:val="50"/>
        <w:numPr>
          <w:ilvl w:val="1"/>
          <w:numId w:val="1"/>
        </w:numPr>
        <w:tabs>
          <w:tab w:val="left" w:pos="1134"/>
        </w:tabs>
        <w:spacing w:before="0" w:beforeAutospacing="0" w:after="0" w:afterAutospacing="0"/>
        <w:ind w:left="-87" w:leftChars="0" w:firstLine="567" w:firstLineChars="0"/>
        <w:jc w:val="both"/>
        <w:textAlignment w:val="baseline"/>
        <w:rPr>
          <w:sz w:val="21"/>
          <w:szCs w:val="21"/>
        </w:rPr>
      </w:pPr>
      <w:r>
        <w:rPr>
          <w:color w:val="000000"/>
          <w:sz w:val="21"/>
          <w:szCs w:val="21"/>
        </w:rPr>
        <w:t xml:space="preserve">A Câmara Municipal de Primavera do Leste - MT não se responsabilizará por eventuais danos </w:t>
      </w:r>
      <w:r>
        <w:rPr>
          <w:rStyle w:val="53"/>
          <w:color w:val="000000" w:themeColor="text1"/>
          <w:sz w:val="21"/>
          <w:szCs w:val="21"/>
          <w14:textFill>
            <w14:solidFill>
              <w14:schemeClr w14:val="tx1"/>
            </w14:solidFill>
          </w14:textFill>
        </w:rPr>
        <w:t>causados</w:t>
      </w:r>
      <w:r>
        <w:rPr>
          <w:color w:val="000000"/>
          <w:sz w:val="21"/>
          <w:szCs w:val="21"/>
        </w:rPr>
        <w:t xml:space="preserve"> à licitante, decorrentes do uso indevido da senha durante as transações efetuadas, ainda que por terceiros.</w:t>
      </w:r>
    </w:p>
    <w:p w14:paraId="4DEB6D6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w:t>
      </w:r>
    </w:p>
    <w:p w14:paraId="5E084AC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Se traduzido para a língua portuguesa no exterior, a tradução deverá ter sido efetuada por profissional qualificado, segundo as leis do país de origem e os documentos autenticados pela via consular.</w:t>
      </w:r>
    </w:p>
    <w:p w14:paraId="55943F3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1"/>
          <w:szCs w:val="21"/>
        </w:rPr>
      </w:pPr>
      <w:r>
        <w:rPr>
          <w:color w:val="000000"/>
          <w:sz w:val="21"/>
          <w:szCs w:val="21"/>
        </w:rPr>
        <w:t xml:space="preserve">O horário de atendimento presencial do protocolo administrativo da Câmara Municipal de Primavera do Leste - MT é das </w:t>
      </w:r>
      <w:r>
        <w:rPr>
          <w:color w:val="000000"/>
          <w:sz w:val="21"/>
          <w:szCs w:val="21"/>
          <w:shd w:val="clear" w:fill="auto"/>
        </w:rPr>
        <w:t xml:space="preserve">07h00 </w:t>
      </w:r>
      <w:r>
        <w:rPr>
          <w:color w:val="000000"/>
          <w:sz w:val="21"/>
          <w:szCs w:val="21"/>
        </w:rPr>
        <w:t>às 13h00 , de segunda a sexta-feira, no horário oficial de Mato Grosso (GMT -04:00).</w:t>
      </w:r>
    </w:p>
    <w:p w14:paraId="6D75CF45">
      <w:pPr>
        <w:pStyle w:val="2"/>
        <w:spacing w:before="360" w:after="0"/>
        <w:rPr>
          <w:sz w:val="21"/>
          <w:szCs w:val="21"/>
        </w:rPr>
      </w:pPr>
      <w:bookmarkStart w:id="62" w:name="_Toc149517465"/>
      <w:r>
        <w:rPr>
          <w:rStyle w:val="53"/>
          <w:sz w:val="21"/>
          <w:szCs w:val="21"/>
        </w:rPr>
        <w:t>FORO</w:t>
      </w:r>
      <w:bookmarkEnd w:id="62"/>
    </w:p>
    <w:p w14:paraId="1A9E27B0">
      <w:pPr>
        <w:pStyle w:val="50"/>
        <w:numPr>
          <w:ilvl w:val="1"/>
          <w:numId w:val="1"/>
        </w:numPr>
        <w:tabs>
          <w:tab w:val="left" w:pos="1134"/>
        </w:tabs>
        <w:spacing w:before="120" w:beforeAutospacing="0" w:after="120" w:afterAutospacing="0"/>
        <w:ind w:left="-87" w:leftChars="0" w:firstLine="567" w:firstLineChars="0"/>
        <w:jc w:val="both"/>
        <w:textAlignment w:val="baseline"/>
        <w:rPr>
          <w:rFonts w:ascii="Times New Roman" w:hAnsi="Times New Roman"/>
          <w:sz w:val="21"/>
          <w:szCs w:val="21"/>
        </w:rPr>
      </w:pPr>
      <w:r>
        <w:rPr>
          <w:sz w:val="21"/>
          <w:szCs w:val="21"/>
        </w:rPr>
        <w:t xml:space="preserve">As </w:t>
      </w:r>
      <w:r>
        <w:rPr>
          <w:rFonts w:cs="Times New Roman"/>
          <w:sz w:val="21"/>
          <w:szCs w:val="21"/>
        </w:rPr>
        <w:t xml:space="preserve">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14:paraId="45635348">
      <w:pPr>
        <w:pStyle w:val="181"/>
        <w:keepNext w:val="0"/>
        <w:keepLines w:val="0"/>
        <w:pageBreakBefore w:val="0"/>
        <w:widowControl/>
        <w:overflowPunct w:val="0"/>
        <w:bidi w:val="0"/>
        <w:snapToGrid/>
        <w:spacing w:line="216" w:lineRule="auto"/>
        <w:jc w:val="both"/>
        <w:textAlignment w:val="auto"/>
        <w:rPr>
          <w:rFonts w:ascii="Times New Roman" w:hAnsi="Times New Roman" w:cs="Times New Roman"/>
          <w:sz w:val="21"/>
          <w:szCs w:val="21"/>
        </w:rPr>
      </w:pPr>
    </w:p>
    <w:p w14:paraId="26B041E1">
      <w:pPr>
        <w:pStyle w:val="181"/>
        <w:keepNext w:val="0"/>
        <w:keepLines w:val="0"/>
        <w:pageBreakBefore w:val="0"/>
        <w:widowControl/>
        <w:overflowPunct w:val="0"/>
        <w:bidi w:val="0"/>
        <w:snapToGrid/>
        <w:spacing w:line="216" w:lineRule="auto"/>
        <w:jc w:val="right"/>
        <w:textAlignment w:val="auto"/>
        <w:rPr>
          <w:rFonts w:ascii="Times New Roman" w:hAnsi="Times New Roman"/>
          <w:sz w:val="21"/>
          <w:szCs w:val="21"/>
        </w:rPr>
      </w:pPr>
      <w:r>
        <w:rPr>
          <w:rFonts w:ascii="Times New Roman" w:hAnsi="Times New Roman" w:cs="Times New Roman"/>
          <w:sz w:val="21"/>
          <w:szCs w:val="21"/>
        </w:rPr>
        <w:t>Primavera do Leste - MT,</w:t>
      </w:r>
      <w:r>
        <w:rPr>
          <w:rFonts w:hint="default" w:ascii="Times New Roman" w:hAnsi="Times New Roman" w:cs="Times New Roman"/>
          <w:sz w:val="21"/>
          <w:szCs w:val="21"/>
          <w:lang w:val="pt-BR"/>
        </w:rPr>
        <w:t xml:space="preserve"> XX de XXXXXXX d</w:t>
      </w:r>
      <w:r>
        <w:rPr>
          <w:rFonts w:ascii="Times New Roman" w:hAnsi="Times New Roman" w:cs="Times New Roman"/>
          <w:sz w:val="21"/>
          <w:szCs w:val="21"/>
        </w:rPr>
        <w:t>e 2024.</w:t>
      </w:r>
    </w:p>
    <w:p w14:paraId="10815F43">
      <w:pPr>
        <w:pStyle w:val="181"/>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1"/>
          <w:szCs w:val="21"/>
          <w:lang w:eastAsia="pt-BR"/>
        </w:rPr>
      </w:pPr>
    </w:p>
    <w:p w14:paraId="5DFBB9BB">
      <w:pPr>
        <w:pStyle w:val="181"/>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1"/>
          <w:szCs w:val="21"/>
          <w:lang w:eastAsia="pt-BR"/>
        </w:rPr>
      </w:pPr>
    </w:p>
    <w:p w14:paraId="27BC9C6E">
      <w:pPr>
        <w:pStyle w:val="181"/>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1"/>
          <w:szCs w:val="21"/>
          <w:lang w:eastAsia="pt-BR"/>
        </w:rPr>
      </w:pPr>
    </w:p>
    <w:p w14:paraId="08818926">
      <w:pPr>
        <w:pStyle w:val="181"/>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1"/>
          <w:szCs w:val="21"/>
          <w:lang w:eastAsia="pt-BR"/>
        </w:rPr>
      </w:pPr>
    </w:p>
    <w:p w14:paraId="542F7C01">
      <w:pPr>
        <w:pStyle w:val="181"/>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1"/>
          <w:szCs w:val="21"/>
          <w:lang w:eastAsia="pt-BR"/>
        </w:rPr>
      </w:pPr>
    </w:p>
    <w:p w14:paraId="3498B099">
      <w:pPr>
        <w:pStyle w:val="181"/>
        <w:keepNext w:val="0"/>
        <w:keepLines w:val="0"/>
        <w:pageBreakBefore w:val="0"/>
        <w:widowControl/>
        <w:overflowPunct w:val="0"/>
        <w:bidi w:val="0"/>
        <w:snapToGrid/>
        <w:spacing w:line="216" w:lineRule="auto"/>
        <w:jc w:val="center"/>
        <w:textAlignment w:val="auto"/>
        <w:rPr>
          <w:rFonts w:ascii="Times New Roman" w:hAnsi="Times New Roman"/>
          <w:sz w:val="21"/>
          <w:szCs w:val="21"/>
        </w:rPr>
      </w:pPr>
      <w:r>
        <w:rPr>
          <w:rFonts w:ascii="Times New Roman" w:hAnsi="Times New Roman" w:eastAsia="Times New Roman" w:cs="Times New Roman"/>
          <w:b/>
          <w:bCs/>
          <w:color w:val="000000"/>
          <w:sz w:val="21"/>
          <w:szCs w:val="21"/>
          <w:lang w:eastAsia="pt-BR"/>
        </w:rPr>
        <w:t>Wender de Souza Barros</w:t>
      </w:r>
    </w:p>
    <w:p w14:paraId="1224D9F3">
      <w:pPr>
        <w:pStyle w:val="181"/>
        <w:keepNext w:val="0"/>
        <w:keepLines w:val="0"/>
        <w:pageBreakBefore w:val="0"/>
        <w:widowControl/>
        <w:overflowPunct w:val="0"/>
        <w:bidi w:val="0"/>
        <w:snapToGrid/>
        <w:spacing w:line="216" w:lineRule="auto"/>
        <w:jc w:val="center"/>
        <w:textAlignment w:val="auto"/>
        <w:rPr>
          <w:rFonts w:ascii="Times New Roman" w:hAnsi="Times New Roman"/>
          <w:sz w:val="21"/>
          <w:szCs w:val="21"/>
        </w:rPr>
      </w:pPr>
      <w:r>
        <w:rPr>
          <w:rFonts w:ascii="Times New Roman" w:hAnsi="Times New Roman" w:eastAsia="Times New Roman" w:cs="Times New Roman"/>
          <w:color w:val="000000"/>
          <w:sz w:val="21"/>
          <w:szCs w:val="21"/>
          <w:lang w:val="en-US" w:eastAsia="pt-BR"/>
        </w:rPr>
        <w:t>Agente de Contratação</w:t>
      </w:r>
    </w:p>
    <w:p w14:paraId="10C3986B">
      <w:pPr>
        <w:pStyle w:val="181"/>
        <w:keepNext w:val="0"/>
        <w:keepLines w:val="0"/>
        <w:pageBreakBefore w:val="0"/>
        <w:widowControl/>
        <w:overflowPunct w:val="0"/>
        <w:bidi w:val="0"/>
        <w:snapToGrid/>
        <w:spacing w:line="216" w:lineRule="auto"/>
        <w:jc w:val="center"/>
        <w:textAlignment w:val="auto"/>
        <w:rPr>
          <w:rFonts w:ascii="Times New Roman" w:hAnsi="Times New Roman"/>
          <w:sz w:val="21"/>
          <w:szCs w:val="21"/>
        </w:rPr>
      </w:pPr>
      <w:r>
        <w:rPr>
          <w:rFonts w:ascii="Times New Roman" w:hAnsi="Times New Roman" w:eastAsia="Times New Roman" w:cs="Times New Roman"/>
          <w:color w:val="000000"/>
          <w:sz w:val="21"/>
          <w:szCs w:val="21"/>
          <w:lang w:eastAsia="pt-BR"/>
        </w:rPr>
        <w:t>Portaria nº 0</w:t>
      </w:r>
      <w:r>
        <w:rPr>
          <w:rFonts w:hint="default" w:ascii="Times New Roman" w:hAnsi="Times New Roman" w:eastAsia="Times New Roman" w:cs="Times New Roman"/>
          <w:color w:val="000000"/>
          <w:sz w:val="21"/>
          <w:szCs w:val="21"/>
          <w:lang w:val="en-US" w:eastAsia="pt-BR"/>
        </w:rPr>
        <w:t>85</w:t>
      </w:r>
      <w:r>
        <w:rPr>
          <w:rFonts w:ascii="Times New Roman" w:hAnsi="Times New Roman" w:eastAsia="Times New Roman" w:cs="Times New Roman"/>
          <w:color w:val="000000"/>
          <w:sz w:val="21"/>
          <w:szCs w:val="21"/>
          <w:lang w:val="en-US" w:eastAsia="pt-BR"/>
        </w:rPr>
        <w:t>/2024</w:t>
      </w:r>
    </w:p>
    <w:p w14:paraId="2E264EE9">
      <w:pPr>
        <w:pStyle w:val="181"/>
        <w:widowControl/>
        <w:overflowPunct w:val="0"/>
        <w:bidi w:val="0"/>
        <w:snapToGrid/>
        <w:spacing w:line="216" w:lineRule="auto"/>
        <w:jc w:val="center"/>
        <w:textAlignment w:val="auto"/>
        <w:rPr>
          <w:rFonts w:ascii="Times New Roman" w:hAnsi="Times New Roman" w:eastAsia="Times New Roman" w:cs="Times New Roman"/>
          <w:color w:val="000000"/>
          <w:sz w:val="21"/>
          <w:szCs w:val="21"/>
          <w:lang w:val="en-US" w:eastAsia="pt-BR"/>
        </w:rPr>
      </w:pPr>
    </w:p>
    <w:p w14:paraId="7B80D0C4">
      <w:pPr>
        <w:pStyle w:val="181"/>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1"/>
          <w:szCs w:val="21"/>
        </w:rPr>
      </w:pPr>
    </w:p>
    <w:p w14:paraId="66313299">
      <w:pPr>
        <w:pStyle w:val="181"/>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1"/>
          <w:szCs w:val="21"/>
        </w:rPr>
      </w:pPr>
    </w:p>
    <w:p w14:paraId="250058C4">
      <w:pPr>
        <w:pStyle w:val="181"/>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1"/>
          <w:szCs w:val="21"/>
        </w:rPr>
      </w:pPr>
    </w:p>
    <w:p w14:paraId="17C05FCD">
      <w:pPr>
        <w:pStyle w:val="181"/>
        <w:widowControl/>
        <w:overflowPunct w:val="0"/>
        <w:bidi w:val="0"/>
        <w:snapToGrid/>
        <w:spacing w:line="216" w:lineRule="auto"/>
        <w:jc w:val="both"/>
        <w:textAlignment w:val="auto"/>
        <w:rPr>
          <w:rFonts w:ascii="Times New Roman" w:hAnsi="Times New Roman" w:cs="Times New Roman"/>
          <w:color w:val="000000"/>
          <w:sz w:val="21"/>
          <w:szCs w:val="21"/>
        </w:rPr>
      </w:pPr>
    </w:p>
    <w:p w14:paraId="322BC674">
      <w:pPr>
        <w:pStyle w:val="181"/>
        <w:widowControl/>
        <w:overflowPunct w:val="0"/>
        <w:bidi w:val="0"/>
        <w:snapToGrid/>
        <w:spacing w:line="216" w:lineRule="auto"/>
        <w:jc w:val="center"/>
        <w:textAlignment w:val="auto"/>
        <w:rPr>
          <w:rFonts w:ascii="Times New Roman" w:hAnsi="Times New Roman"/>
          <w:sz w:val="21"/>
          <w:szCs w:val="21"/>
        </w:rPr>
      </w:pPr>
      <w:r>
        <w:rPr>
          <w:rFonts w:ascii="Times New Roman" w:hAnsi="Times New Roman" w:cs="Times New Roman"/>
          <w:b/>
          <w:sz w:val="21"/>
          <w:szCs w:val="21"/>
        </w:rPr>
        <w:t>Valdecir Alventino da Silva</w:t>
      </w:r>
    </w:p>
    <w:p w14:paraId="778E290A">
      <w:pPr>
        <w:pStyle w:val="181"/>
        <w:keepNext w:val="0"/>
        <w:keepLines w:val="0"/>
        <w:pageBreakBefore w:val="0"/>
        <w:widowControl/>
        <w:overflowPunct w:val="0"/>
        <w:bidi w:val="0"/>
        <w:snapToGrid/>
        <w:spacing w:line="216" w:lineRule="auto"/>
        <w:jc w:val="center"/>
        <w:textAlignment w:val="auto"/>
        <w:rPr>
          <w:rFonts w:ascii="Times New Roman" w:hAnsi="Times New Roman" w:cs="Times New Roman"/>
          <w:sz w:val="21"/>
          <w:szCs w:val="21"/>
        </w:rPr>
      </w:pPr>
      <w:r>
        <w:rPr>
          <w:rFonts w:ascii="Times New Roman" w:hAnsi="Times New Roman" w:cs="Times New Roman"/>
          <w:sz w:val="21"/>
          <w:szCs w:val="21"/>
        </w:rPr>
        <w:t>Vereador Presidente</w:t>
      </w:r>
      <w:bookmarkStart w:id="63" w:name="_ANEXO_I_-"/>
      <w:bookmarkEnd w:id="63"/>
    </w:p>
    <w:p w14:paraId="5BF99F23">
      <w:pPr>
        <w:rPr>
          <w:rFonts w:ascii="Times New Roman" w:hAnsi="Times New Roman" w:cs="Times New Roman"/>
          <w:sz w:val="21"/>
          <w:szCs w:val="21"/>
        </w:rPr>
      </w:pPr>
      <w:r>
        <w:rPr>
          <w:rFonts w:ascii="Times New Roman" w:hAnsi="Times New Roman" w:cs="Times New Roman"/>
          <w:sz w:val="21"/>
          <w:szCs w:val="21"/>
        </w:rPr>
        <w:br w:type="page"/>
      </w:r>
    </w:p>
    <w:p w14:paraId="56FE36DF">
      <w:pPr>
        <w:pageBreakBefore/>
        <w:spacing w:line="100" w:lineRule="atLeast"/>
        <w:jc w:val="center"/>
        <w:rPr>
          <w:sz w:val="22"/>
          <w:szCs w:val="22"/>
        </w:rPr>
      </w:pPr>
      <w:r>
        <w:rPr>
          <w:rStyle w:val="49"/>
          <w:rFonts w:eastAsia="Times New Roman"/>
          <w:b/>
          <w:sz w:val="22"/>
          <w:szCs w:val="22"/>
          <w:u w:val="single"/>
          <w:lang w:eastAsia="en-US"/>
        </w:rPr>
        <w:t>TERMO DE REFERÊNCIA Nº 42/2024</w:t>
      </w:r>
    </w:p>
    <w:tbl>
      <w:tblPr>
        <w:tblStyle w:val="14"/>
        <w:tblW w:w="0" w:type="auto"/>
        <w:tblInd w:w="108" w:type="dxa"/>
        <w:tblLayout w:type="fixed"/>
        <w:tblCellMar>
          <w:top w:w="0" w:type="dxa"/>
          <w:left w:w="108" w:type="dxa"/>
          <w:bottom w:w="0" w:type="dxa"/>
          <w:right w:w="108" w:type="dxa"/>
        </w:tblCellMar>
      </w:tblPr>
      <w:tblGrid>
        <w:gridCol w:w="9145"/>
      </w:tblGrid>
      <w:tr w14:paraId="43C8C22E">
        <w:tblPrEx>
          <w:tblCellMar>
            <w:top w:w="0" w:type="dxa"/>
            <w:left w:w="108" w:type="dxa"/>
            <w:bottom w:w="0" w:type="dxa"/>
            <w:right w:w="108" w:type="dxa"/>
          </w:tblCellMar>
        </w:tblPrEx>
        <w:trPr>
          <w:trHeight w:val="630" w:hRule="atLeast"/>
        </w:trPr>
        <w:tc>
          <w:tcPr>
            <w:tcW w:w="9145" w:type="dxa"/>
            <w:tcBorders>
              <w:top w:val="single" w:color="000000" w:sz="4" w:space="0"/>
              <w:left w:val="single" w:color="000000" w:sz="4" w:space="0"/>
              <w:bottom w:val="single" w:color="000000" w:sz="4" w:space="0"/>
              <w:right w:val="single" w:color="000000" w:sz="4" w:space="0"/>
            </w:tcBorders>
            <w:shd w:val="clear" w:color="auto" w:fill="D9D9D9"/>
            <w:noWrap w:val="0"/>
            <w:vAlign w:val="top"/>
          </w:tcPr>
          <w:p w14:paraId="789E0DCE">
            <w:pPr>
              <w:spacing w:line="100" w:lineRule="atLeast"/>
              <w:jc w:val="center"/>
              <w:rPr>
                <w:rFonts w:eastAsia="Times New Roman"/>
                <w:b/>
                <w:sz w:val="22"/>
                <w:szCs w:val="22"/>
                <w:lang w:eastAsia="en-US"/>
              </w:rPr>
            </w:pPr>
            <w:r>
              <w:rPr>
                <w:rStyle w:val="49"/>
                <w:rFonts w:eastAsia="Times New Roman"/>
                <w:b/>
                <w:sz w:val="22"/>
                <w:szCs w:val="22"/>
                <w:lang w:eastAsia="en-US"/>
              </w:rPr>
              <w:t>INFORMAÇÕES GERAIS</w:t>
            </w:r>
          </w:p>
        </w:tc>
      </w:tr>
    </w:tbl>
    <w:p w14:paraId="3176CE83">
      <w:pPr>
        <w:spacing w:line="100" w:lineRule="atLeast"/>
        <w:jc w:val="center"/>
        <w:rPr>
          <w:rFonts w:eastAsia="Times New Roman"/>
          <w:b/>
          <w:sz w:val="22"/>
          <w:szCs w:val="22"/>
          <w:lang w:eastAsia="en-US"/>
        </w:rPr>
      </w:pPr>
    </w:p>
    <w:p w14:paraId="7A759A52">
      <w:pPr>
        <w:spacing w:before="57" w:after="57" w:line="100" w:lineRule="atLeast"/>
        <w:jc w:val="both"/>
        <w:rPr>
          <w:rStyle w:val="49"/>
          <w:rFonts w:eastAsia="Times New Roman"/>
          <w:b/>
          <w:sz w:val="22"/>
          <w:szCs w:val="22"/>
          <w:lang w:eastAsia="en-US"/>
        </w:rPr>
      </w:pPr>
      <w:r>
        <w:rPr>
          <w:rStyle w:val="49"/>
          <w:rFonts w:eastAsia="Times New Roman"/>
          <w:b/>
          <w:sz w:val="22"/>
          <w:szCs w:val="22"/>
          <w:lang w:eastAsia="en-US"/>
        </w:rPr>
        <w:t xml:space="preserve">Órgão: </w:t>
      </w:r>
      <w:r>
        <w:rPr>
          <w:rStyle w:val="49"/>
          <w:rFonts w:eastAsia="Times New Roman"/>
          <w:sz w:val="22"/>
          <w:szCs w:val="22"/>
          <w:lang w:eastAsia="en-US"/>
        </w:rPr>
        <w:t>Câmara Municipal de Primavera do Leste – MT.</w:t>
      </w:r>
    </w:p>
    <w:p w14:paraId="2F40BD96">
      <w:pPr>
        <w:spacing w:before="57" w:after="57" w:line="100" w:lineRule="atLeast"/>
        <w:jc w:val="both"/>
        <w:rPr>
          <w:rStyle w:val="49"/>
          <w:rFonts w:eastAsia="Times New Roman"/>
          <w:b/>
          <w:sz w:val="22"/>
          <w:szCs w:val="22"/>
          <w:lang w:eastAsia="en-US"/>
        </w:rPr>
      </w:pPr>
      <w:r>
        <w:rPr>
          <w:rStyle w:val="49"/>
          <w:rFonts w:eastAsia="Times New Roman"/>
          <w:b/>
          <w:sz w:val="22"/>
          <w:szCs w:val="22"/>
          <w:lang w:eastAsia="en-US"/>
        </w:rPr>
        <w:t>Termo de Referência nº: 4</w:t>
      </w:r>
      <w:r>
        <w:rPr>
          <w:rStyle w:val="49"/>
          <w:rFonts w:eastAsia="Times New Roman"/>
          <w:b/>
          <w:bCs/>
          <w:sz w:val="22"/>
          <w:szCs w:val="22"/>
          <w:lang w:eastAsia="en-US"/>
        </w:rPr>
        <w:t>2</w:t>
      </w:r>
      <w:r>
        <w:rPr>
          <w:rStyle w:val="49"/>
          <w:b/>
          <w:bCs/>
          <w:sz w:val="22"/>
          <w:szCs w:val="22"/>
          <w:lang w:eastAsia="en-US"/>
        </w:rPr>
        <w:t>/2024</w:t>
      </w:r>
    </w:p>
    <w:p w14:paraId="010BA2BA">
      <w:pPr>
        <w:spacing w:before="57" w:after="57" w:line="100" w:lineRule="atLeast"/>
        <w:jc w:val="both"/>
        <w:rPr>
          <w:rStyle w:val="49"/>
          <w:rFonts w:eastAsia="Times New Roman"/>
          <w:b/>
          <w:sz w:val="22"/>
          <w:szCs w:val="22"/>
          <w:lang w:eastAsia="en-US"/>
        </w:rPr>
      </w:pPr>
      <w:r>
        <w:rPr>
          <w:rStyle w:val="49"/>
          <w:rFonts w:eastAsia="Times New Roman"/>
          <w:b/>
          <w:sz w:val="22"/>
          <w:szCs w:val="22"/>
          <w:lang w:eastAsia="en-US"/>
        </w:rPr>
        <w:t>Descrição da categoria:</w:t>
      </w:r>
      <w:r>
        <w:rPr>
          <w:rStyle w:val="49"/>
          <w:rFonts w:eastAsia="Times New Roman"/>
          <w:sz w:val="22"/>
          <w:szCs w:val="22"/>
          <w:lang w:eastAsia="en-US"/>
        </w:rPr>
        <w:t xml:space="preserve"> C</w:t>
      </w:r>
      <w:r>
        <w:rPr>
          <w:rStyle w:val="49"/>
          <w:rFonts w:ascii="Times New Roman" w:hAnsi="Times New Roman" w:eastAsia="Times New Roman" w:cs="Times New Roman"/>
          <w:color w:val="000000"/>
          <w:sz w:val="22"/>
          <w:szCs w:val="22"/>
          <w:lang w:val="pt-BR" w:eastAsia="en-US"/>
        </w:rPr>
        <w:t>ontratação de empresa especializada no fornecimento e instalação de telhas isotérmicas tipo sanduíche, calhas, rufos, cumeeiras, com disponibilização de mão de obra, equipamentos e tudo que se fizer necessário para a perfeita execução dos serviços na Câmara Municipal de Primavera do Leste – MT.</w:t>
      </w:r>
    </w:p>
    <w:p w14:paraId="11CC67F5">
      <w:pPr>
        <w:spacing w:before="57" w:after="57" w:line="100" w:lineRule="atLeast"/>
        <w:jc w:val="both"/>
        <w:rPr>
          <w:rStyle w:val="49"/>
          <w:rFonts w:hint="default" w:eastAsia="Times New Roman"/>
          <w:sz w:val="22"/>
          <w:szCs w:val="22"/>
          <w:lang w:val="pt-BR" w:eastAsia="en-US"/>
        </w:rPr>
      </w:pPr>
      <w:r>
        <w:rPr>
          <w:rStyle w:val="49"/>
          <w:rFonts w:eastAsia="Times New Roman"/>
          <w:b/>
          <w:sz w:val="22"/>
          <w:szCs w:val="22"/>
          <w:lang w:eastAsia="en-US"/>
        </w:rPr>
        <w:t xml:space="preserve">Setor Solicitante: </w:t>
      </w:r>
      <w:r>
        <w:rPr>
          <w:rStyle w:val="49"/>
          <w:rFonts w:eastAsia="Times New Roman"/>
          <w:b w:val="0"/>
          <w:bCs w:val="0"/>
          <w:sz w:val="22"/>
          <w:szCs w:val="22"/>
          <w:lang w:eastAsia="en-US"/>
        </w:rPr>
        <w:t>Setor de Manutenção da</w:t>
      </w:r>
      <w:r>
        <w:rPr>
          <w:rStyle w:val="49"/>
          <w:rFonts w:eastAsia="Times New Roman"/>
          <w:sz w:val="22"/>
          <w:szCs w:val="22"/>
          <w:lang w:eastAsia="en-US"/>
        </w:rPr>
        <w:t xml:space="preserve"> CMPVA/MT</w:t>
      </w:r>
      <w:r>
        <w:rPr>
          <w:rStyle w:val="49"/>
          <w:rFonts w:hint="default" w:eastAsia="Times New Roman"/>
          <w:sz w:val="22"/>
          <w:szCs w:val="22"/>
          <w:lang w:val="pt-BR" w:eastAsia="en-US"/>
        </w:rPr>
        <w:t>.</w:t>
      </w:r>
    </w:p>
    <w:p w14:paraId="3B136492">
      <w:pPr>
        <w:spacing w:before="57" w:after="57" w:line="100" w:lineRule="atLeast"/>
        <w:jc w:val="both"/>
        <w:rPr>
          <w:rStyle w:val="49"/>
          <w:rFonts w:hint="default" w:eastAsia="Times New Roman"/>
          <w:sz w:val="22"/>
          <w:szCs w:val="22"/>
          <w:lang w:val="pt-BR" w:eastAsia="en-US"/>
        </w:rPr>
      </w:pPr>
    </w:p>
    <w:tbl>
      <w:tblPr>
        <w:tblStyle w:val="14"/>
        <w:tblW w:w="0" w:type="auto"/>
        <w:tblInd w:w="88" w:type="dxa"/>
        <w:tblLayout w:type="fixed"/>
        <w:tblCellMar>
          <w:top w:w="0" w:type="dxa"/>
          <w:left w:w="108" w:type="dxa"/>
          <w:bottom w:w="0" w:type="dxa"/>
          <w:right w:w="108" w:type="dxa"/>
        </w:tblCellMar>
      </w:tblPr>
      <w:tblGrid>
        <w:gridCol w:w="9120"/>
      </w:tblGrid>
      <w:tr w14:paraId="346D5096">
        <w:tblPrEx>
          <w:tblCellMar>
            <w:top w:w="0" w:type="dxa"/>
            <w:left w:w="108" w:type="dxa"/>
            <w:bottom w:w="0" w:type="dxa"/>
            <w:right w:w="108" w:type="dxa"/>
          </w:tblCellMar>
        </w:tblPrEx>
        <w:trPr>
          <w:trHeight w:val="915" w:hRule="atLeast"/>
        </w:trPr>
        <w:tc>
          <w:tcPr>
            <w:tcW w:w="9120"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631D2A7">
            <w:pPr>
              <w:spacing w:line="100" w:lineRule="atLeast"/>
              <w:jc w:val="center"/>
              <w:rPr>
                <w:sz w:val="22"/>
                <w:szCs w:val="22"/>
              </w:rPr>
            </w:pPr>
            <w:r>
              <w:rPr>
                <w:rStyle w:val="49"/>
                <w:rFonts w:eastAsia="Times New Roman"/>
                <w:b/>
                <w:sz w:val="22"/>
                <w:szCs w:val="22"/>
                <w:lang w:eastAsia="en-US"/>
              </w:rPr>
              <w:t>I – FUNDAMENTAÇÃO MÍNIMA</w:t>
            </w:r>
          </w:p>
        </w:tc>
      </w:tr>
    </w:tbl>
    <w:p w14:paraId="43B1F561">
      <w:pPr>
        <w:spacing w:line="100" w:lineRule="atLeast"/>
        <w:jc w:val="both"/>
        <w:rPr>
          <w:rFonts w:eastAsia="Times New Roman"/>
          <w:b/>
          <w:sz w:val="22"/>
          <w:szCs w:val="22"/>
          <w:lang w:eastAsia="en-US"/>
        </w:rPr>
      </w:pPr>
    </w:p>
    <w:p w14:paraId="02B0A4BB">
      <w:pPr>
        <w:pStyle w:val="216"/>
        <w:numPr>
          <w:ilvl w:val="0"/>
          <w:numId w:val="12"/>
        </w:numPr>
        <w:tabs>
          <w:tab w:val="left" w:pos="284"/>
        </w:tabs>
        <w:spacing w:line="100" w:lineRule="atLeast"/>
        <w:ind w:left="0" w:right="0" w:firstLine="0"/>
        <w:jc w:val="both"/>
        <w:rPr>
          <w:sz w:val="22"/>
          <w:szCs w:val="22"/>
        </w:rPr>
      </w:pPr>
      <w:r>
        <w:rPr>
          <w:rStyle w:val="49"/>
          <w:rFonts w:eastAsia="Times New Roman"/>
          <w:b/>
          <w:sz w:val="22"/>
          <w:szCs w:val="22"/>
          <w:lang w:eastAsia="en-US"/>
        </w:rPr>
        <w:t>OBJETO</w:t>
      </w:r>
      <w:r>
        <w:rPr>
          <w:rStyle w:val="49"/>
          <w:rFonts w:eastAsia="Times New Roman"/>
          <w:sz w:val="22"/>
          <w:szCs w:val="22"/>
          <w:lang w:eastAsia="en-US"/>
        </w:rPr>
        <w:t xml:space="preserve">: </w:t>
      </w:r>
      <w:r>
        <w:rPr>
          <w:rStyle w:val="49"/>
          <w:rFonts w:hint="default" w:eastAsia="Times New Roman"/>
          <w:sz w:val="22"/>
          <w:szCs w:val="22"/>
          <w:lang w:val="pt-BR" w:eastAsia="en-US"/>
        </w:rPr>
        <w:t>Registro de preço</w:t>
      </w:r>
      <w:r>
        <w:rPr>
          <w:rStyle w:val="49"/>
          <w:rFonts w:eastAsia="Times New Roman"/>
          <w:sz w:val="22"/>
          <w:szCs w:val="22"/>
          <w:lang w:eastAsia="en-US"/>
        </w:rPr>
        <w:t xml:space="preserve">, embasado na lei 14.133/2021, a ser realizada pelo critério de julgamento </w:t>
      </w:r>
      <w:r>
        <w:rPr>
          <w:rStyle w:val="49"/>
          <w:rFonts w:eastAsia="Times New Roman"/>
          <w:b/>
          <w:bCs/>
          <w:sz w:val="22"/>
          <w:szCs w:val="22"/>
          <w:lang w:eastAsia="en-US"/>
        </w:rPr>
        <w:t>MENOR PREÇO POR LOTE</w:t>
      </w:r>
      <w:r>
        <w:rPr>
          <w:rStyle w:val="49"/>
          <w:rFonts w:eastAsia="Times New Roman"/>
          <w:sz w:val="22"/>
          <w:szCs w:val="22"/>
          <w:lang w:eastAsia="en-US"/>
        </w:rPr>
        <w:t xml:space="preserve">, </w:t>
      </w:r>
      <w:r>
        <w:rPr>
          <w:rStyle w:val="49"/>
          <w:rFonts w:eastAsia="MS Sans Serif" w:cs="Times New Roman"/>
          <w:sz w:val="22"/>
          <w:szCs w:val="22"/>
          <w:lang w:val="pt-BR" w:eastAsia="en-US"/>
        </w:rPr>
        <w:t xml:space="preserve">para futura e eventual </w:t>
      </w:r>
      <w:r>
        <w:rPr>
          <w:rStyle w:val="49"/>
          <w:rFonts w:ascii="Times New Roman" w:hAnsi="Times New Roman" w:eastAsia="Times New Roman" w:cs="Times New Roman"/>
          <w:color w:val="000000"/>
          <w:sz w:val="22"/>
          <w:szCs w:val="22"/>
          <w:lang w:val="pt-BR" w:eastAsia="en-US"/>
        </w:rPr>
        <w:t>contratação de empresa especializada no fornecimento e instalação de telhas isotérmicas tipo sanduíche, calhas, rufos, cumeeiras, com disponibilização de mão de obra, equipamentos e tudo que se fizer necessário para a perfeita execução dos serviços na Câmara Municipal de Primavera do Leste – MT.</w:t>
      </w:r>
    </w:p>
    <w:p w14:paraId="24F5AAFF">
      <w:pPr>
        <w:pStyle w:val="216"/>
        <w:tabs>
          <w:tab w:val="left" w:pos="284"/>
        </w:tabs>
        <w:spacing w:line="100" w:lineRule="atLeast"/>
        <w:ind w:left="0" w:right="0" w:firstLine="0"/>
        <w:jc w:val="both"/>
        <w:rPr>
          <w:sz w:val="22"/>
          <w:szCs w:val="22"/>
        </w:rPr>
      </w:pPr>
    </w:p>
    <w:p w14:paraId="7AC982C3">
      <w:pPr>
        <w:numPr>
          <w:ilvl w:val="1"/>
          <w:numId w:val="12"/>
        </w:numPr>
        <w:tabs>
          <w:tab w:val="left" w:pos="426"/>
        </w:tabs>
        <w:spacing w:line="100" w:lineRule="atLeast"/>
        <w:ind w:left="0" w:right="0" w:firstLine="0"/>
        <w:rPr>
          <w:rFonts w:eastAsia="Times New Roman"/>
          <w:b/>
          <w:sz w:val="22"/>
          <w:szCs w:val="22"/>
          <w:lang w:eastAsia="en-US"/>
        </w:rPr>
      </w:pPr>
      <w:r>
        <w:rPr>
          <w:rFonts w:eastAsia="Times New Roman"/>
          <w:b/>
          <w:bCs/>
          <w:sz w:val="22"/>
          <w:szCs w:val="22"/>
          <w:lang w:eastAsia="en-US"/>
        </w:rPr>
        <w:t>Dos Itens da Categoria:</w:t>
      </w:r>
      <w:r>
        <w:rPr>
          <w:rFonts w:eastAsia="Times New Roman"/>
          <w:b/>
          <w:sz w:val="22"/>
          <w:szCs w:val="22"/>
          <w:lang w:eastAsia="en-US"/>
        </w:rPr>
        <w:t xml:space="preserve"> </w:t>
      </w:r>
    </w:p>
    <w:tbl>
      <w:tblPr>
        <w:tblStyle w:val="14"/>
        <w:tblW w:w="0" w:type="auto"/>
        <w:tblInd w:w="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5" w:type="dxa"/>
          <w:left w:w="55" w:type="dxa"/>
          <w:bottom w:w="55" w:type="dxa"/>
          <w:right w:w="55" w:type="dxa"/>
        </w:tblCellMar>
      </w:tblPr>
      <w:tblGrid>
        <w:gridCol w:w="627"/>
        <w:gridCol w:w="668"/>
        <w:gridCol w:w="628"/>
        <w:gridCol w:w="627"/>
        <w:gridCol w:w="3341"/>
        <w:gridCol w:w="914"/>
        <w:gridCol w:w="1295"/>
        <w:gridCol w:w="1255"/>
      </w:tblGrid>
      <w:tr w14:paraId="5D19E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9355" w:type="dxa"/>
            <w:gridSpan w:val="8"/>
            <w:tcBorders>
              <w:tl2br w:val="nil"/>
              <w:tr2bl w:val="nil"/>
            </w:tcBorders>
            <w:shd w:val="clear" w:color="auto" w:fill="auto"/>
            <w:noWrap w:val="0"/>
            <w:vAlign w:val="top"/>
          </w:tcPr>
          <w:p w14:paraId="219E1AAB">
            <w:pPr>
              <w:pStyle w:val="218"/>
              <w:widowControl/>
              <w:suppressLineNumbers/>
              <w:shd w:val="clear" w:color="auto" w:fill="auto"/>
              <w:suppressAutoHyphens/>
              <w:spacing w:line="100" w:lineRule="atLeast"/>
              <w:ind w:left="-57" w:right="57" w:firstLine="0"/>
              <w:jc w:val="center"/>
              <w:rPr>
                <w:sz w:val="28"/>
                <w:szCs w:val="28"/>
              </w:rPr>
            </w:pPr>
            <w:r>
              <w:rPr>
                <w:b/>
                <w:bCs/>
                <w:sz w:val="20"/>
                <w:szCs w:val="20"/>
              </w:rPr>
              <w:t>LOTE I</w:t>
            </w:r>
          </w:p>
        </w:tc>
      </w:tr>
      <w:tr w14:paraId="480C2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627" w:type="dxa"/>
            <w:tcBorders>
              <w:tl2br w:val="nil"/>
              <w:tr2bl w:val="nil"/>
            </w:tcBorders>
            <w:shd w:val="clear" w:color="auto" w:fill="auto"/>
            <w:noWrap w:val="0"/>
            <w:vAlign w:val="top"/>
          </w:tcPr>
          <w:p w14:paraId="5F5C5050">
            <w:pPr>
              <w:pStyle w:val="218"/>
              <w:spacing w:line="100" w:lineRule="atLeast"/>
              <w:jc w:val="center"/>
              <w:rPr>
                <w:rStyle w:val="49"/>
                <w:rFonts w:eastAsia="Times New Roman"/>
                <w:b/>
                <w:bCs/>
                <w:sz w:val="20"/>
                <w:szCs w:val="20"/>
                <w:lang w:val="en-US"/>
              </w:rPr>
            </w:pPr>
            <w:r>
              <w:rPr>
                <w:b/>
                <w:bCs/>
                <w:sz w:val="20"/>
                <w:szCs w:val="20"/>
              </w:rPr>
              <w:t>ITEM</w:t>
            </w:r>
          </w:p>
        </w:tc>
        <w:tc>
          <w:tcPr>
            <w:tcW w:w="668" w:type="dxa"/>
            <w:tcBorders>
              <w:tl2br w:val="nil"/>
              <w:tr2bl w:val="nil"/>
            </w:tcBorders>
            <w:shd w:val="clear" w:color="auto" w:fill="auto"/>
            <w:noWrap w:val="0"/>
            <w:vAlign w:val="top"/>
          </w:tcPr>
          <w:p w14:paraId="473C5189">
            <w:pPr>
              <w:pStyle w:val="218"/>
              <w:spacing w:line="100" w:lineRule="atLeast"/>
              <w:jc w:val="center"/>
              <w:rPr>
                <w:rFonts w:eastAsia="Times New Roman"/>
                <w:b/>
                <w:bCs/>
                <w:sz w:val="20"/>
                <w:szCs w:val="20"/>
                <w:lang w:val="en-US"/>
              </w:rPr>
            </w:pPr>
            <w:r>
              <w:rPr>
                <w:rStyle w:val="49"/>
                <w:rFonts w:eastAsia="Times New Roman"/>
                <w:b/>
                <w:bCs/>
                <w:sz w:val="20"/>
                <w:szCs w:val="20"/>
                <w:lang w:val="en-US"/>
              </w:rPr>
              <w:t>CÓD SIST</w:t>
            </w:r>
          </w:p>
        </w:tc>
        <w:tc>
          <w:tcPr>
            <w:tcW w:w="628" w:type="dxa"/>
            <w:tcBorders>
              <w:tl2br w:val="nil"/>
              <w:tr2bl w:val="nil"/>
            </w:tcBorders>
            <w:shd w:val="clear" w:color="auto" w:fill="auto"/>
            <w:noWrap w:val="0"/>
            <w:vAlign w:val="top"/>
          </w:tcPr>
          <w:p w14:paraId="54EC5700">
            <w:pPr>
              <w:spacing w:line="100" w:lineRule="atLeast"/>
              <w:jc w:val="center"/>
              <w:rPr>
                <w:rStyle w:val="49"/>
                <w:rFonts w:eastAsia="Times New Roman"/>
                <w:b/>
                <w:bCs/>
                <w:sz w:val="20"/>
                <w:szCs w:val="20"/>
                <w:lang w:val="en-US"/>
              </w:rPr>
            </w:pPr>
            <w:r>
              <w:rPr>
                <w:rFonts w:eastAsia="Times New Roman"/>
                <w:b/>
                <w:bCs/>
                <w:sz w:val="20"/>
                <w:szCs w:val="20"/>
                <w:lang w:val="en-US"/>
              </w:rPr>
              <w:t>CÓD</w:t>
            </w:r>
            <w:r>
              <w:rPr>
                <w:rStyle w:val="49"/>
                <w:rFonts w:eastAsia="Times New Roman"/>
                <w:b/>
                <w:bCs/>
                <w:sz w:val="20"/>
                <w:szCs w:val="20"/>
                <w:lang w:val="en-US"/>
              </w:rPr>
              <w:t>TCE</w:t>
            </w:r>
          </w:p>
        </w:tc>
        <w:tc>
          <w:tcPr>
            <w:tcW w:w="627" w:type="dxa"/>
            <w:tcBorders>
              <w:tl2br w:val="nil"/>
              <w:tr2bl w:val="nil"/>
            </w:tcBorders>
            <w:shd w:val="clear" w:color="auto" w:fill="auto"/>
            <w:noWrap w:val="0"/>
            <w:vAlign w:val="top"/>
          </w:tcPr>
          <w:p w14:paraId="1220A12E">
            <w:pPr>
              <w:pStyle w:val="218"/>
              <w:spacing w:line="100" w:lineRule="atLeast"/>
              <w:jc w:val="center"/>
              <w:rPr>
                <w:rStyle w:val="49"/>
                <w:rFonts w:cs="Arial"/>
                <w:b/>
                <w:bCs/>
                <w:color w:val="000000"/>
                <w:sz w:val="20"/>
                <w:szCs w:val="20"/>
              </w:rPr>
            </w:pPr>
            <w:r>
              <w:rPr>
                <w:rStyle w:val="49"/>
                <w:rFonts w:eastAsia="Times New Roman"/>
                <w:b/>
                <w:bCs/>
                <w:sz w:val="20"/>
                <w:szCs w:val="20"/>
                <w:lang w:val="en-US"/>
              </w:rPr>
              <w:t>UNID</w:t>
            </w:r>
          </w:p>
        </w:tc>
        <w:tc>
          <w:tcPr>
            <w:tcW w:w="3341" w:type="dxa"/>
            <w:tcBorders>
              <w:tl2br w:val="nil"/>
              <w:tr2bl w:val="nil"/>
            </w:tcBorders>
            <w:shd w:val="clear" w:color="auto" w:fill="auto"/>
            <w:noWrap w:val="0"/>
            <w:vAlign w:val="top"/>
          </w:tcPr>
          <w:p w14:paraId="4AA83FE1">
            <w:pPr>
              <w:pStyle w:val="218"/>
              <w:spacing w:line="100" w:lineRule="atLeast"/>
              <w:jc w:val="center"/>
              <w:rPr>
                <w:rStyle w:val="49"/>
                <w:rFonts w:eastAsia="Arial" w:cs="Arial"/>
                <w:b/>
                <w:bCs/>
                <w:sz w:val="20"/>
                <w:szCs w:val="20"/>
              </w:rPr>
            </w:pPr>
            <w:r>
              <w:rPr>
                <w:rStyle w:val="49"/>
                <w:rFonts w:cs="Arial"/>
                <w:b/>
                <w:bCs/>
                <w:color w:val="000000"/>
                <w:sz w:val="20"/>
                <w:szCs w:val="20"/>
              </w:rPr>
              <w:t>DESCRIÇÃO</w:t>
            </w:r>
          </w:p>
        </w:tc>
        <w:tc>
          <w:tcPr>
            <w:tcW w:w="914" w:type="dxa"/>
            <w:tcBorders>
              <w:tl2br w:val="nil"/>
              <w:tr2bl w:val="nil"/>
            </w:tcBorders>
            <w:shd w:val="clear" w:color="auto" w:fill="auto"/>
            <w:noWrap w:val="0"/>
            <w:vAlign w:val="top"/>
          </w:tcPr>
          <w:p w14:paraId="464E2103">
            <w:pPr>
              <w:pStyle w:val="218"/>
              <w:spacing w:line="100" w:lineRule="atLeast"/>
              <w:jc w:val="center"/>
              <w:rPr>
                <w:b/>
                <w:bCs/>
                <w:sz w:val="20"/>
                <w:szCs w:val="20"/>
              </w:rPr>
            </w:pPr>
            <w:r>
              <w:rPr>
                <w:rStyle w:val="49"/>
                <w:rFonts w:eastAsia="Arial" w:cs="Arial"/>
                <w:b/>
                <w:bCs/>
                <w:sz w:val="20"/>
                <w:szCs w:val="20"/>
              </w:rPr>
              <w:t>QTD</w:t>
            </w:r>
          </w:p>
        </w:tc>
        <w:tc>
          <w:tcPr>
            <w:tcW w:w="1295" w:type="dxa"/>
            <w:tcBorders>
              <w:tl2br w:val="nil"/>
              <w:tr2bl w:val="nil"/>
            </w:tcBorders>
            <w:shd w:val="clear" w:color="auto" w:fill="auto"/>
            <w:noWrap w:val="0"/>
            <w:vAlign w:val="top"/>
          </w:tcPr>
          <w:p w14:paraId="1F199085">
            <w:pPr>
              <w:spacing w:line="100" w:lineRule="atLeast"/>
              <w:jc w:val="center"/>
              <w:rPr>
                <w:rFonts w:eastAsia="Liberation Sans" w:cs="Liberation Sans"/>
                <w:b/>
                <w:bCs/>
                <w:sz w:val="20"/>
                <w:szCs w:val="20"/>
                <w:lang w:val="en-US"/>
              </w:rPr>
            </w:pPr>
            <w:r>
              <w:rPr>
                <w:b/>
                <w:bCs/>
                <w:sz w:val="20"/>
                <w:szCs w:val="20"/>
              </w:rPr>
              <w:t>VALOR UNITÁRIO</w:t>
            </w:r>
          </w:p>
        </w:tc>
        <w:tc>
          <w:tcPr>
            <w:tcW w:w="1255" w:type="dxa"/>
            <w:tcBorders>
              <w:tl2br w:val="nil"/>
              <w:tr2bl w:val="nil"/>
            </w:tcBorders>
            <w:shd w:val="clear" w:color="auto" w:fill="auto"/>
            <w:noWrap w:val="0"/>
            <w:vAlign w:val="top"/>
          </w:tcPr>
          <w:p w14:paraId="56C2A529">
            <w:pPr>
              <w:spacing w:line="100" w:lineRule="atLeast"/>
              <w:jc w:val="center"/>
              <w:rPr>
                <w:sz w:val="24"/>
                <w:szCs w:val="24"/>
              </w:rPr>
            </w:pPr>
            <w:r>
              <w:rPr>
                <w:rFonts w:eastAsia="Liberation Sans" w:cs="Liberation Sans"/>
                <w:b/>
                <w:bCs/>
                <w:sz w:val="20"/>
                <w:szCs w:val="20"/>
                <w:lang w:val="en-US"/>
              </w:rPr>
              <w:t xml:space="preserve">VALOR </w:t>
            </w:r>
            <w:r>
              <w:rPr>
                <w:rStyle w:val="49"/>
                <w:rFonts w:eastAsia="Liberation Sans" w:cs="Liberation Sans"/>
                <w:b/>
                <w:bCs/>
                <w:sz w:val="20"/>
                <w:szCs w:val="20"/>
                <w:lang w:val="en-US"/>
              </w:rPr>
              <w:t>TOTAL</w:t>
            </w:r>
          </w:p>
        </w:tc>
      </w:tr>
      <w:tr w14:paraId="4F5DC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627" w:type="dxa"/>
            <w:tcBorders>
              <w:tl2br w:val="nil"/>
              <w:tr2bl w:val="nil"/>
            </w:tcBorders>
            <w:shd w:val="clear" w:color="auto" w:fill="auto"/>
            <w:noWrap w:val="0"/>
            <w:vAlign w:val="top"/>
          </w:tcPr>
          <w:p w14:paraId="02C35FD2">
            <w:pPr>
              <w:pStyle w:val="218"/>
              <w:spacing w:line="100" w:lineRule="atLeast"/>
              <w:jc w:val="center"/>
              <w:rPr>
                <w:sz w:val="21"/>
                <w:szCs w:val="21"/>
              </w:rPr>
            </w:pPr>
          </w:p>
          <w:p w14:paraId="394D9DFE">
            <w:pPr>
              <w:pStyle w:val="218"/>
              <w:spacing w:line="100" w:lineRule="atLeast"/>
              <w:jc w:val="center"/>
              <w:rPr>
                <w:sz w:val="21"/>
                <w:szCs w:val="21"/>
              </w:rPr>
            </w:pPr>
            <w:r>
              <w:rPr>
                <w:sz w:val="21"/>
                <w:szCs w:val="21"/>
              </w:rPr>
              <w:t>01</w:t>
            </w:r>
          </w:p>
        </w:tc>
        <w:tc>
          <w:tcPr>
            <w:tcW w:w="668" w:type="dxa"/>
            <w:tcBorders>
              <w:tl2br w:val="nil"/>
              <w:tr2bl w:val="nil"/>
            </w:tcBorders>
            <w:shd w:val="clear" w:color="auto" w:fill="auto"/>
            <w:noWrap w:val="0"/>
            <w:vAlign w:val="top"/>
          </w:tcPr>
          <w:p w14:paraId="1B6B5B4F">
            <w:pPr>
              <w:pStyle w:val="218"/>
              <w:spacing w:line="100" w:lineRule="atLeast"/>
              <w:jc w:val="center"/>
              <w:rPr>
                <w:sz w:val="21"/>
                <w:szCs w:val="21"/>
              </w:rPr>
            </w:pPr>
          </w:p>
          <w:p w14:paraId="5C3591C0">
            <w:pPr>
              <w:pStyle w:val="218"/>
              <w:spacing w:line="100" w:lineRule="atLeast"/>
              <w:jc w:val="center"/>
              <w:rPr>
                <w:sz w:val="21"/>
                <w:szCs w:val="21"/>
              </w:rPr>
            </w:pPr>
            <w:r>
              <w:rPr>
                <w:sz w:val="21"/>
                <w:szCs w:val="21"/>
              </w:rPr>
              <w:t>1627</w:t>
            </w:r>
          </w:p>
        </w:tc>
        <w:tc>
          <w:tcPr>
            <w:tcW w:w="628" w:type="dxa"/>
            <w:tcBorders>
              <w:tl2br w:val="nil"/>
              <w:tr2bl w:val="nil"/>
            </w:tcBorders>
            <w:shd w:val="clear" w:color="auto" w:fill="auto"/>
            <w:noWrap w:val="0"/>
            <w:vAlign w:val="top"/>
          </w:tcPr>
          <w:p w14:paraId="2FAE5E82">
            <w:pPr>
              <w:spacing w:line="100" w:lineRule="atLeast"/>
              <w:jc w:val="center"/>
              <w:rPr>
                <w:sz w:val="21"/>
                <w:szCs w:val="21"/>
              </w:rPr>
            </w:pPr>
          </w:p>
          <w:p w14:paraId="6AA083EA">
            <w:pPr>
              <w:spacing w:line="100" w:lineRule="atLeast"/>
              <w:jc w:val="center"/>
              <w:rPr>
                <w:sz w:val="21"/>
                <w:szCs w:val="21"/>
              </w:rPr>
            </w:pPr>
            <w:r>
              <w:rPr>
                <w:sz w:val="21"/>
                <w:szCs w:val="21"/>
              </w:rPr>
              <w:t>00060939</w:t>
            </w:r>
          </w:p>
        </w:tc>
        <w:tc>
          <w:tcPr>
            <w:tcW w:w="627" w:type="dxa"/>
            <w:tcBorders>
              <w:tl2br w:val="nil"/>
              <w:tr2bl w:val="nil"/>
            </w:tcBorders>
            <w:shd w:val="clear" w:color="auto" w:fill="auto"/>
            <w:noWrap w:val="0"/>
            <w:vAlign w:val="top"/>
          </w:tcPr>
          <w:p w14:paraId="3C95BB2F">
            <w:pPr>
              <w:pStyle w:val="218"/>
              <w:spacing w:line="100" w:lineRule="atLeast"/>
              <w:jc w:val="center"/>
              <w:rPr>
                <w:sz w:val="21"/>
                <w:szCs w:val="21"/>
              </w:rPr>
            </w:pPr>
          </w:p>
          <w:p w14:paraId="3570DEA6">
            <w:pPr>
              <w:pStyle w:val="218"/>
              <w:spacing w:line="100" w:lineRule="atLeast"/>
              <w:jc w:val="center"/>
              <w:rPr>
                <w:rStyle w:val="49"/>
                <w:rFonts w:eastAsia="Times New Roman" w:cs="Calibri"/>
                <w:b/>
                <w:bCs/>
                <w:i w:val="0"/>
                <w:iCs w:val="0"/>
                <w:color w:val="000000"/>
                <w:position w:val="0"/>
                <w:sz w:val="21"/>
                <w:szCs w:val="21"/>
                <w:vertAlign w:val="baseline"/>
                <w:lang w:val="pt-BR" w:eastAsia="en-US"/>
              </w:rPr>
            </w:pPr>
            <w:r>
              <w:rPr>
                <w:sz w:val="21"/>
                <w:szCs w:val="21"/>
              </w:rPr>
              <w:t>M</w:t>
            </w:r>
          </w:p>
        </w:tc>
        <w:tc>
          <w:tcPr>
            <w:tcW w:w="3341" w:type="dxa"/>
            <w:tcBorders>
              <w:tl2br w:val="nil"/>
              <w:tr2bl w:val="nil"/>
            </w:tcBorders>
            <w:shd w:val="clear" w:color="auto" w:fill="auto"/>
            <w:noWrap w:val="0"/>
            <w:vAlign w:val="top"/>
          </w:tcPr>
          <w:p w14:paraId="7EF54197">
            <w:pPr>
              <w:keepNext w:val="0"/>
              <w:keepLines w:val="0"/>
              <w:widowControl/>
              <w:suppressLineNumbers w:val="0"/>
              <w:spacing w:before="0" w:after="120" w:line="100" w:lineRule="atLeast"/>
              <w:ind w:left="0" w:right="0" w:firstLine="0"/>
              <w:jc w:val="both"/>
              <w:rPr>
                <w:sz w:val="21"/>
                <w:szCs w:val="21"/>
              </w:rPr>
            </w:pPr>
            <w:r>
              <w:rPr>
                <w:rStyle w:val="49"/>
                <w:rFonts w:eastAsia="Times New Roman" w:cs="Calibri"/>
                <w:b/>
                <w:bCs/>
                <w:i w:val="0"/>
                <w:iCs w:val="0"/>
                <w:color w:val="000000"/>
                <w:position w:val="0"/>
                <w:sz w:val="21"/>
                <w:szCs w:val="21"/>
                <w:vertAlign w:val="baseline"/>
                <w:lang w:val="pt-BR" w:eastAsia="en-US"/>
              </w:rPr>
              <w:t xml:space="preserve">TELHA METÁLICA ISOTÉRMICA </w:t>
            </w:r>
            <w:r>
              <w:rPr>
                <w:rStyle w:val="49"/>
                <w:rFonts w:eastAsia="Times New Roman" w:cs="Calibri"/>
                <w:b w:val="0"/>
                <w:bCs w:val="0"/>
                <w:i w:val="0"/>
                <w:iCs w:val="0"/>
                <w:color w:val="000000"/>
                <w:position w:val="0"/>
                <w:sz w:val="21"/>
                <w:szCs w:val="21"/>
                <w:vertAlign w:val="baseline"/>
                <w:lang w:val="pt-BR" w:eastAsia="en-US"/>
              </w:rPr>
              <w:t>de</w:t>
            </w:r>
            <w:r>
              <w:rPr>
                <w:rStyle w:val="49"/>
                <w:rFonts w:eastAsia="Times New Roman" w:cs="Calibri"/>
                <w:b/>
                <w:bCs/>
                <w:i w:val="0"/>
                <w:iCs w:val="0"/>
                <w:color w:val="000000"/>
                <w:position w:val="0"/>
                <w:sz w:val="21"/>
                <w:szCs w:val="21"/>
                <w:vertAlign w:val="baseline"/>
                <w:lang w:val="pt-BR" w:eastAsia="en-US"/>
              </w:rPr>
              <w:t xml:space="preserve"> </w:t>
            </w:r>
            <w:r>
              <w:rPr>
                <w:rStyle w:val="49"/>
                <w:rFonts w:eastAsia="Times New Roman" w:cs="Calibri"/>
                <w:b w:val="0"/>
                <w:bCs w:val="0"/>
                <w:i w:val="0"/>
                <w:iCs w:val="0"/>
                <w:color w:val="000000"/>
                <w:position w:val="0"/>
                <w:sz w:val="21"/>
                <w:szCs w:val="21"/>
                <w:vertAlign w:val="baseline"/>
                <w:lang w:val="pt-BR" w:eastAsia="en-US"/>
              </w:rPr>
              <w:t>30 mm de aço branco, tipo sanduíche, com todo o material necessário para instalação.</w:t>
            </w:r>
          </w:p>
        </w:tc>
        <w:tc>
          <w:tcPr>
            <w:tcW w:w="914" w:type="dxa"/>
            <w:tcBorders>
              <w:tl2br w:val="nil"/>
              <w:tr2bl w:val="nil"/>
            </w:tcBorders>
            <w:shd w:val="clear" w:color="auto" w:fill="auto"/>
            <w:noWrap w:val="0"/>
            <w:vAlign w:val="top"/>
          </w:tcPr>
          <w:p w14:paraId="66F72B1B">
            <w:pPr>
              <w:pStyle w:val="218"/>
              <w:spacing w:line="100" w:lineRule="atLeast"/>
              <w:jc w:val="center"/>
              <w:rPr>
                <w:sz w:val="21"/>
                <w:szCs w:val="21"/>
              </w:rPr>
            </w:pPr>
          </w:p>
          <w:p w14:paraId="3F453A02">
            <w:pPr>
              <w:pStyle w:val="218"/>
              <w:spacing w:line="100" w:lineRule="atLeast"/>
              <w:jc w:val="center"/>
              <w:rPr>
                <w:sz w:val="21"/>
                <w:szCs w:val="21"/>
              </w:rPr>
            </w:pPr>
            <w:r>
              <w:rPr>
                <w:sz w:val="21"/>
                <w:szCs w:val="21"/>
              </w:rPr>
              <w:t>2.226,80 metros lineares</w:t>
            </w:r>
          </w:p>
        </w:tc>
        <w:tc>
          <w:tcPr>
            <w:tcW w:w="1295" w:type="dxa"/>
            <w:tcBorders>
              <w:tl2br w:val="nil"/>
              <w:tr2bl w:val="nil"/>
            </w:tcBorders>
            <w:shd w:val="clear" w:color="auto" w:fill="auto"/>
            <w:noWrap w:val="0"/>
            <w:vAlign w:val="top"/>
          </w:tcPr>
          <w:p w14:paraId="36B144BD">
            <w:pPr>
              <w:spacing w:line="100" w:lineRule="atLeast"/>
              <w:jc w:val="center"/>
              <w:rPr>
                <w:sz w:val="21"/>
                <w:szCs w:val="21"/>
              </w:rPr>
            </w:pPr>
          </w:p>
          <w:p w14:paraId="7C94708D">
            <w:pPr>
              <w:spacing w:line="100" w:lineRule="atLeast"/>
              <w:jc w:val="center"/>
              <w:rPr>
                <w:sz w:val="21"/>
                <w:szCs w:val="21"/>
              </w:rPr>
            </w:pPr>
            <w:r>
              <w:rPr>
                <w:sz w:val="21"/>
                <w:szCs w:val="21"/>
              </w:rPr>
              <w:t xml:space="preserve">R$ 147,20 </w:t>
            </w:r>
          </w:p>
        </w:tc>
        <w:tc>
          <w:tcPr>
            <w:tcW w:w="1255" w:type="dxa"/>
            <w:tcBorders>
              <w:tl2br w:val="nil"/>
              <w:tr2bl w:val="nil"/>
            </w:tcBorders>
            <w:shd w:val="clear" w:color="auto" w:fill="auto"/>
            <w:noWrap w:val="0"/>
            <w:vAlign w:val="top"/>
          </w:tcPr>
          <w:p w14:paraId="5376B9FD">
            <w:pPr>
              <w:spacing w:line="100" w:lineRule="atLeast"/>
              <w:jc w:val="center"/>
              <w:rPr>
                <w:sz w:val="21"/>
                <w:szCs w:val="21"/>
              </w:rPr>
            </w:pPr>
          </w:p>
          <w:p w14:paraId="33FAA6E0">
            <w:pPr>
              <w:spacing w:line="100" w:lineRule="atLeast"/>
              <w:jc w:val="center"/>
              <w:rPr>
                <w:sz w:val="24"/>
                <w:szCs w:val="24"/>
              </w:rPr>
            </w:pPr>
            <w:r>
              <w:rPr>
                <w:sz w:val="21"/>
                <w:szCs w:val="21"/>
              </w:rPr>
              <w:t>R$327.784,96</w:t>
            </w:r>
          </w:p>
        </w:tc>
      </w:tr>
      <w:tr w14:paraId="44734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627" w:type="dxa"/>
            <w:tcBorders>
              <w:tl2br w:val="nil"/>
              <w:tr2bl w:val="nil"/>
            </w:tcBorders>
            <w:shd w:val="clear" w:color="auto" w:fill="auto"/>
            <w:noWrap w:val="0"/>
            <w:vAlign w:val="top"/>
          </w:tcPr>
          <w:p w14:paraId="48FAEB84">
            <w:pPr>
              <w:pStyle w:val="218"/>
              <w:spacing w:line="100" w:lineRule="atLeast"/>
              <w:jc w:val="center"/>
              <w:rPr>
                <w:sz w:val="21"/>
                <w:szCs w:val="21"/>
              </w:rPr>
            </w:pPr>
          </w:p>
          <w:p w14:paraId="00E50ACE">
            <w:pPr>
              <w:pStyle w:val="218"/>
              <w:spacing w:line="100" w:lineRule="atLeast"/>
              <w:jc w:val="center"/>
              <w:rPr>
                <w:sz w:val="21"/>
                <w:szCs w:val="21"/>
              </w:rPr>
            </w:pPr>
            <w:r>
              <w:rPr>
                <w:sz w:val="21"/>
                <w:szCs w:val="21"/>
              </w:rPr>
              <w:t>02</w:t>
            </w:r>
          </w:p>
        </w:tc>
        <w:tc>
          <w:tcPr>
            <w:tcW w:w="668" w:type="dxa"/>
            <w:tcBorders>
              <w:tl2br w:val="nil"/>
              <w:tr2bl w:val="nil"/>
            </w:tcBorders>
            <w:shd w:val="clear" w:color="auto" w:fill="auto"/>
            <w:noWrap w:val="0"/>
            <w:vAlign w:val="top"/>
          </w:tcPr>
          <w:p w14:paraId="437B7974">
            <w:pPr>
              <w:pStyle w:val="218"/>
              <w:spacing w:line="100" w:lineRule="atLeast"/>
              <w:jc w:val="center"/>
              <w:rPr>
                <w:sz w:val="21"/>
                <w:szCs w:val="21"/>
              </w:rPr>
            </w:pPr>
          </w:p>
          <w:p w14:paraId="6C328967">
            <w:pPr>
              <w:pStyle w:val="218"/>
              <w:spacing w:line="100" w:lineRule="atLeast"/>
              <w:jc w:val="center"/>
              <w:rPr>
                <w:sz w:val="21"/>
                <w:szCs w:val="21"/>
              </w:rPr>
            </w:pPr>
            <w:r>
              <w:rPr>
                <w:sz w:val="21"/>
                <w:szCs w:val="21"/>
              </w:rPr>
              <w:t>1628</w:t>
            </w:r>
          </w:p>
        </w:tc>
        <w:tc>
          <w:tcPr>
            <w:tcW w:w="628" w:type="dxa"/>
            <w:tcBorders>
              <w:tl2br w:val="nil"/>
              <w:tr2bl w:val="nil"/>
            </w:tcBorders>
            <w:shd w:val="clear" w:color="auto" w:fill="auto"/>
            <w:noWrap w:val="0"/>
            <w:vAlign w:val="top"/>
          </w:tcPr>
          <w:p w14:paraId="09BB0617">
            <w:pPr>
              <w:spacing w:line="100" w:lineRule="atLeast"/>
              <w:jc w:val="center"/>
              <w:rPr>
                <w:sz w:val="21"/>
                <w:szCs w:val="21"/>
              </w:rPr>
            </w:pPr>
          </w:p>
          <w:p w14:paraId="71CC7A91">
            <w:pPr>
              <w:spacing w:line="100" w:lineRule="atLeast"/>
              <w:jc w:val="center"/>
              <w:rPr>
                <w:sz w:val="21"/>
                <w:szCs w:val="21"/>
              </w:rPr>
            </w:pPr>
            <w:r>
              <w:rPr>
                <w:sz w:val="21"/>
                <w:szCs w:val="21"/>
              </w:rPr>
              <w:t>331656-4</w:t>
            </w:r>
          </w:p>
        </w:tc>
        <w:tc>
          <w:tcPr>
            <w:tcW w:w="627" w:type="dxa"/>
            <w:tcBorders>
              <w:tl2br w:val="nil"/>
              <w:tr2bl w:val="nil"/>
            </w:tcBorders>
            <w:shd w:val="clear" w:color="auto" w:fill="auto"/>
            <w:noWrap w:val="0"/>
            <w:vAlign w:val="top"/>
          </w:tcPr>
          <w:p w14:paraId="2FC2E9D7">
            <w:pPr>
              <w:pStyle w:val="218"/>
              <w:spacing w:line="100" w:lineRule="atLeast"/>
              <w:jc w:val="center"/>
              <w:rPr>
                <w:sz w:val="21"/>
                <w:szCs w:val="21"/>
              </w:rPr>
            </w:pPr>
          </w:p>
          <w:p w14:paraId="3AF979EF">
            <w:pPr>
              <w:pStyle w:val="218"/>
              <w:spacing w:line="100" w:lineRule="atLeast"/>
              <w:jc w:val="center"/>
              <w:rPr>
                <w:b/>
                <w:bCs/>
                <w:sz w:val="21"/>
                <w:szCs w:val="21"/>
              </w:rPr>
            </w:pPr>
            <w:r>
              <w:rPr>
                <w:sz w:val="21"/>
                <w:szCs w:val="21"/>
              </w:rPr>
              <w:t>M²</w:t>
            </w:r>
          </w:p>
        </w:tc>
        <w:tc>
          <w:tcPr>
            <w:tcW w:w="3341" w:type="dxa"/>
            <w:tcBorders>
              <w:tl2br w:val="nil"/>
              <w:tr2bl w:val="nil"/>
            </w:tcBorders>
            <w:shd w:val="clear" w:color="auto" w:fill="auto"/>
            <w:noWrap w:val="0"/>
            <w:vAlign w:val="top"/>
          </w:tcPr>
          <w:p w14:paraId="7F916FD4">
            <w:pPr>
              <w:widowControl/>
              <w:suppressLineNumbers w:val="0"/>
              <w:spacing w:before="0" w:after="120" w:line="100" w:lineRule="atLeast"/>
              <w:ind w:left="0" w:right="0" w:firstLine="0"/>
              <w:jc w:val="both"/>
              <w:rPr>
                <w:sz w:val="21"/>
                <w:szCs w:val="21"/>
              </w:rPr>
            </w:pPr>
            <w:r>
              <w:rPr>
                <w:b/>
                <w:bCs/>
                <w:sz w:val="21"/>
                <w:szCs w:val="21"/>
              </w:rPr>
              <w:t xml:space="preserve">CUMEEIRA ISOTÉRMICA </w:t>
            </w:r>
            <w:r>
              <w:rPr>
                <w:b w:val="0"/>
                <w:bCs w:val="0"/>
                <w:sz w:val="21"/>
                <w:szCs w:val="21"/>
              </w:rPr>
              <w:t>pintada de branco para se adaptar as telhas do item anterior</w:t>
            </w:r>
            <w:r>
              <w:rPr>
                <w:rStyle w:val="49"/>
                <w:rFonts w:eastAsia="Times New Roman" w:cs="Calibri"/>
                <w:b w:val="0"/>
                <w:bCs w:val="0"/>
                <w:i w:val="0"/>
                <w:iCs w:val="0"/>
                <w:color w:val="000000"/>
                <w:position w:val="0"/>
                <w:sz w:val="21"/>
                <w:szCs w:val="21"/>
                <w:vertAlign w:val="baseline"/>
                <w:lang w:val="pt-BR" w:eastAsia="en-US"/>
              </w:rPr>
              <w:t>, com todo o material necessário para instalação.</w:t>
            </w:r>
          </w:p>
        </w:tc>
        <w:tc>
          <w:tcPr>
            <w:tcW w:w="914" w:type="dxa"/>
            <w:tcBorders>
              <w:tl2br w:val="nil"/>
              <w:tr2bl w:val="nil"/>
            </w:tcBorders>
            <w:shd w:val="clear" w:color="auto" w:fill="auto"/>
            <w:noWrap w:val="0"/>
            <w:vAlign w:val="top"/>
          </w:tcPr>
          <w:p w14:paraId="2DC44468">
            <w:pPr>
              <w:pStyle w:val="218"/>
              <w:spacing w:line="100" w:lineRule="atLeast"/>
              <w:jc w:val="center"/>
              <w:rPr>
                <w:sz w:val="21"/>
                <w:szCs w:val="21"/>
              </w:rPr>
            </w:pPr>
          </w:p>
          <w:p w14:paraId="117800D8">
            <w:pPr>
              <w:pStyle w:val="218"/>
              <w:spacing w:line="100" w:lineRule="atLeast"/>
              <w:jc w:val="center"/>
              <w:rPr>
                <w:sz w:val="21"/>
                <w:szCs w:val="21"/>
              </w:rPr>
            </w:pPr>
            <w:r>
              <w:rPr>
                <w:sz w:val="21"/>
                <w:szCs w:val="21"/>
              </w:rPr>
              <w:t>120 M²</w:t>
            </w:r>
          </w:p>
        </w:tc>
        <w:tc>
          <w:tcPr>
            <w:tcW w:w="1295" w:type="dxa"/>
            <w:tcBorders>
              <w:tl2br w:val="nil"/>
              <w:tr2bl w:val="nil"/>
            </w:tcBorders>
            <w:shd w:val="clear" w:color="auto" w:fill="auto"/>
            <w:noWrap w:val="0"/>
            <w:vAlign w:val="top"/>
          </w:tcPr>
          <w:p w14:paraId="438C1177">
            <w:pPr>
              <w:spacing w:line="100" w:lineRule="atLeast"/>
              <w:jc w:val="center"/>
              <w:rPr>
                <w:sz w:val="21"/>
                <w:szCs w:val="21"/>
              </w:rPr>
            </w:pPr>
          </w:p>
          <w:p w14:paraId="291F5E1D">
            <w:pPr>
              <w:spacing w:line="100" w:lineRule="atLeast"/>
              <w:jc w:val="center"/>
              <w:rPr>
                <w:sz w:val="21"/>
                <w:szCs w:val="21"/>
              </w:rPr>
            </w:pPr>
            <w:r>
              <w:rPr>
                <w:sz w:val="21"/>
                <w:szCs w:val="21"/>
              </w:rPr>
              <w:t xml:space="preserve">R$ 68,08 </w:t>
            </w:r>
          </w:p>
        </w:tc>
        <w:tc>
          <w:tcPr>
            <w:tcW w:w="1255" w:type="dxa"/>
            <w:tcBorders>
              <w:tl2br w:val="nil"/>
              <w:tr2bl w:val="nil"/>
            </w:tcBorders>
            <w:shd w:val="clear" w:color="auto" w:fill="auto"/>
            <w:noWrap w:val="0"/>
            <w:vAlign w:val="top"/>
          </w:tcPr>
          <w:p w14:paraId="07CDE320">
            <w:pPr>
              <w:spacing w:line="100" w:lineRule="atLeast"/>
              <w:jc w:val="center"/>
              <w:rPr>
                <w:sz w:val="21"/>
                <w:szCs w:val="21"/>
              </w:rPr>
            </w:pPr>
          </w:p>
          <w:p w14:paraId="6D3A0BDC">
            <w:pPr>
              <w:spacing w:line="100" w:lineRule="atLeast"/>
              <w:jc w:val="center"/>
              <w:rPr>
                <w:sz w:val="24"/>
                <w:szCs w:val="24"/>
              </w:rPr>
            </w:pPr>
            <w:r>
              <w:rPr>
                <w:sz w:val="21"/>
                <w:szCs w:val="21"/>
              </w:rPr>
              <w:t xml:space="preserve">R$ 8.169,60 </w:t>
            </w:r>
          </w:p>
        </w:tc>
      </w:tr>
      <w:tr w14:paraId="063A8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627" w:type="dxa"/>
            <w:tcBorders>
              <w:tl2br w:val="nil"/>
              <w:tr2bl w:val="nil"/>
            </w:tcBorders>
            <w:shd w:val="clear" w:color="auto" w:fill="auto"/>
            <w:noWrap w:val="0"/>
            <w:vAlign w:val="top"/>
          </w:tcPr>
          <w:p w14:paraId="77C5B56A">
            <w:pPr>
              <w:pStyle w:val="218"/>
              <w:spacing w:line="100" w:lineRule="atLeast"/>
              <w:jc w:val="center"/>
              <w:rPr>
                <w:sz w:val="21"/>
                <w:szCs w:val="21"/>
              </w:rPr>
            </w:pPr>
          </w:p>
          <w:p w14:paraId="4366F257">
            <w:pPr>
              <w:pStyle w:val="218"/>
              <w:spacing w:line="100" w:lineRule="atLeast"/>
              <w:jc w:val="center"/>
              <w:rPr>
                <w:sz w:val="21"/>
                <w:szCs w:val="21"/>
              </w:rPr>
            </w:pPr>
            <w:r>
              <w:rPr>
                <w:sz w:val="21"/>
                <w:szCs w:val="21"/>
              </w:rPr>
              <w:t>03</w:t>
            </w:r>
          </w:p>
        </w:tc>
        <w:tc>
          <w:tcPr>
            <w:tcW w:w="668" w:type="dxa"/>
            <w:tcBorders>
              <w:tl2br w:val="nil"/>
              <w:tr2bl w:val="nil"/>
            </w:tcBorders>
            <w:shd w:val="clear" w:color="auto" w:fill="auto"/>
            <w:noWrap w:val="0"/>
            <w:vAlign w:val="top"/>
          </w:tcPr>
          <w:p w14:paraId="7A01AD6D">
            <w:pPr>
              <w:pStyle w:val="218"/>
              <w:spacing w:line="100" w:lineRule="atLeast"/>
              <w:jc w:val="center"/>
              <w:rPr>
                <w:sz w:val="21"/>
                <w:szCs w:val="21"/>
              </w:rPr>
            </w:pPr>
          </w:p>
          <w:p w14:paraId="2EECD65E">
            <w:pPr>
              <w:pStyle w:val="218"/>
              <w:spacing w:line="100" w:lineRule="atLeast"/>
              <w:jc w:val="center"/>
              <w:rPr>
                <w:sz w:val="21"/>
                <w:szCs w:val="21"/>
              </w:rPr>
            </w:pPr>
            <w:r>
              <w:rPr>
                <w:sz w:val="21"/>
                <w:szCs w:val="21"/>
              </w:rPr>
              <w:t>1144</w:t>
            </w:r>
          </w:p>
        </w:tc>
        <w:tc>
          <w:tcPr>
            <w:tcW w:w="628" w:type="dxa"/>
            <w:tcBorders>
              <w:tl2br w:val="nil"/>
              <w:tr2bl w:val="nil"/>
            </w:tcBorders>
            <w:shd w:val="clear" w:color="auto" w:fill="auto"/>
            <w:noWrap w:val="0"/>
            <w:vAlign w:val="top"/>
          </w:tcPr>
          <w:p w14:paraId="3622C378">
            <w:pPr>
              <w:spacing w:line="100" w:lineRule="atLeast"/>
              <w:jc w:val="center"/>
              <w:rPr>
                <w:sz w:val="21"/>
                <w:szCs w:val="21"/>
              </w:rPr>
            </w:pPr>
          </w:p>
          <w:p w14:paraId="3FE86BD5">
            <w:pPr>
              <w:spacing w:line="100" w:lineRule="atLeast"/>
              <w:jc w:val="center"/>
              <w:rPr>
                <w:sz w:val="21"/>
                <w:szCs w:val="21"/>
              </w:rPr>
            </w:pPr>
            <w:r>
              <w:rPr>
                <w:sz w:val="21"/>
                <w:szCs w:val="21"/>
              </w:rPr>
              <w:t>00055351</w:t>
            </w:r>
          </w:p>
        </w:tc>
        <w:tc>
          <w:tcPr>
            <w:tcW w:w="627" w:type="dxa"/>
            <w:tcBorders>
              <w:tl2br w:val="nil"/>
              <w:tr2bl w:val="nil"/>
            </w:tcBorders>
            <w:shd w:val="clear" w:color="auto" w:fill="auto"/>
            <w:noWrap w:val="0"/>
            <w:vAlign w:val="top"/>
          </w:tcPr>
          <w:p w14:paraId="600783EB">
            <w:pPr>
              <w:pStyle w:val="218"/>
              <w:spacing w:line="100" w:lineRule="atLeast"/>
              <w:jc w:val="center"/>
              <w:rPr>
                <w:sz w:val="21"/>
                <w:szCs w:val="21"/>
              </w:rPr>
            </w:pPr>
          </w:p>
          <w:p w14:paraId="74A29E4D">
            <w:pPr>
              <w:pStyle w:val="218"/>
              <w:spacing w:line="100" w:lineRule="atLeast"/>
              <w:jc w:val="center"/>
              <w:rPr>
                <w:b/>
                <w:bCs/>
                <w:sz w:val="21"/>
                <w:szCs w:val="21"/>
              </w:rPr>
            </w:pPr>
            <w:r>
              <w:rPr>
                <w:sz w:val="21"/>
                <w:szCs w:val="21"/>
              </w:rPr>
              <w:t>SERV</w:t>
            </w:r>
          </w:p>
        </w:tc>
        <w:tc>
          <w:tcPr>
            <w:tcW w:w="3341" w:type="dxa"/>
            <w:tcBorders>
              <w:tl2br w:val="nil"/>
              <w:tr2bl w:val="nil"/>
            </w:tcBorders>
            <w:shd w:val="clear" w:color="auto" w:fill="auto"/>
            <w:noWrap w:val="0"/>
            <w:vAlign w:val="top"/>
          </w:tcPr>
          <w:p w14:paraId="1818EC14">
            <w:pPr>
              <w:keepNext w:val="0"/>
              <w:keepLines w:val="0"/>
              <w:widowControl/>
              <w:suppressLineNumbers w:val="0"/>
              <w:spacing w:before="0" w:after="120" w:line="100" w:lineRule="atLeast"/>
              <w:ind w:left="0" w:right="0" w:firstLine="0"/>
              <w:jc w:val="both"/>
              <w:rPr>
                <w:sz w:val="21"/>
                <w:szCs w:val="21"/>
              </w:rPr>
            </w:pPr>
            <w:r>
              <w:rPr>
                <w:b/>
                <w:bCs/>
                <w:sz w:val="21"/>
                <w:szCs w:val="21"/>
              </w:rPr>
              <w:t>SERVIÇO DE TROCA DAS TELHAS E CUMEEIRAS</w:t>
            </w:r>
            <w:r>
              <w:rPr>
                <w:sz w:val="21"/>
                <w:szCs w:val="21"/>
              </w:rPr>
              <w:t xml:space="preserve"> contemplando toda a remoção dos materiais antigos e a instalação dos novos.</w:t>
            </w:r>
          </w:p>
        </w:tc>
        <w:tc>
          <w:tcPr>
            <w:tcW w:w="914" w:type="dxa"/>
            <w:tcBorders>
              <w:tl2br w:val="nil"/>
              <w:tr2bl w:val="nil"/>
            </w:tcBorders>
            <w:shd w:val="clear" w:color="auto" w:fill="auto"/>
            <w:noWrap w:val="0"/>
            <w:vAlign w:val="top"/>
          </w:tcPr>
          <w:p w14:paraId="4C38A70F">
            <w:pPr>
              <w:pStyle w:val="218"/>
              <w:spacing w:line="100" w:lineRule="atLeast"/>
              <w:jc w:val="center"/>
              <w:rPr>
                <w:sz w:val="21"/>
                <w:szCs w:val="21"/>
              </w:rPr>
            </w:pPr>
          </w:p>
          <w:p w14:paraId="212B9F3E">
            <w:pPr>
              <w:pStyle w:val="218"/>
              <w:spacing w:line="100" w:lineRule="atLeast"/>
              <w:jc w:val="center"/>
              <w:rPr>
                <w:sz w:val="21"/>
                <w:szCs w:val="21"/>
              </w:rPr>
            </w:pPr>
            <w:r>
              <w:rPr>
                <w:sz w:val="21"/>
                <w:szCs w:val="21"/>
              </w:rPr>
              <w:t>01</w:t>
            </w:r>
          </w:p>
        </w:tc>
        <w:tc>
          <w:tcPr>
            <w:tcW w:w="1295" w:type="dxa"/>
            <w:tcBorders>
              <w:tl2br w:val="nil"/>
              <w:tr2bl w:val="nil"/>
            </w:tcBorders>
            <w:shd w:val="clear" w:color="auto" w:fill="auto"/>
            <w:noWrap w:val="0"/>
            <w:vAlign w:val="top"/>
          </w:tcPr>
          <w:p w14:paraId="2FF2863A">
            <w:pPr>
              <w:spacing w:line="100" w:lineRule="atLeast"/>
              <w:jc w:val="center"/>
              <w:rPr>
                <w:sz w:val="21"/>
                <w:szCs w:val="21"/>
              </w:rPr>
            </w:pPr>
          </w:p>
          <w:p w14:paraId="60D7ADCE">
            <w:pPr>
              <w:spacing w:line="100" w:lineRule="atLeast"/>
              <w:jc w:val="center"/>
              <w:rPr>
                <w:sz w:val="21"/>
                <w:szCs w:val="21"/>
              </w:rPr>
            </w:pPr>
            <w:r>
              <w:rPr>
                <w:sz w:val="21"/>
                <w:szCs w:val="21"/>
              </w:rPr>
              <w:t xml:space="preserve">R$163.947,26 </w:t>
            </w:r>
          </w:p>
        </w:tc>
        <w:tc>
          <w:tcPr>
            <w:tcW w:w="1255" w:type="dxa"/>
            <w:tcBorders>
              <w:tl2br w:val="nil"/>
              <w:tr2bl w:val="nil"/>
            </w:tcBorders>
            <w:shd w:val="clear" w:color="auto" w:fill="auto"/>
            <w:noWrap w:val="0"/>
            <w:vAlign w:val="top"/>
          </w:tcPr>
          <w:p w14:paraId="499A29CE">
            <w:pPr>
              <w:spacing w:line="100" w:lineRule="atLeast"/>
              <w:jc w:val="center"/>
              <w:rPr>
                <w:sz w:val="21"/>
                <w:szCs w:val="21"/>
              </w:rPr>
            </w:pPr>
          </w:p>
          <w:p w14:paraId="326ACC16">
            <w:pPr>
              <w:spacing w:line="100" w:lineRule="atLeast"/>
              <w:jc w:val="center"/>
              <w:rPr>
                <w:sz w:val="24"/>
                <w:szCs w:val="24"/>
              </w:rPr>
            </w:pPr>
            <w:r>
              <w:rPr>
                <w:sz w:val="21"/>
                <w:szCs w:val="21"/>
              </w:rPr>
              <w:t>R$163.947,26</w:t>
            </w:r>
          </w:p>
        </w:tc>
      </w:tr>
      <w:tr w14:paraId="1AA8B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550" w:type="dxa"/>
            <w:gridSpan w:val="4"/>
            <w:tcBorders>
              <w:tl2br w:val="nil"/>
              <w:tr2bl w:val="nil"/>
            </w:tcBorders>
            <w:shd w:val="clear" w:color="auto" w:fill="auto"/>
            <w:noWrap w:val="0"/>
            <w:vAlign w:val="top"/>
          </w:tcPr>
          <w:p w14:paraId="2F1FA608">
            <w:pPr>
              <w:pStyle w:val="218"/>
              <w:spacing w:line="100" w:lineRule="atLeast"/>
              <w:jc w:val="center"/>
              <w:rPr>
                <w:sz w:val="21"/>
                <w:szCs w:val="21"/>
              </w:rPr>
            </w:pPr>
            <w:r>
              <w:rPr>
                <w:b/>
                <w:bCs/>
                <w:sz w:val="21"/>
                <w:szCs w:val="21"/>
              </w:rPr>
              <w:t>VALOR TOTAL DO LOTE</w:t>
            </w:r>
          </w:p>
        </w:tc>
        <w:tc>
          <w:tcPr>
            <w:tcW w:w="6805" w:type="dxa"/>
            <w:gridSpan w:val="4"/>
            <w:tcBorders>
              <w:tl2br w:val="nil"/>
              <w:tr2bl w:val="nil"/>
            </w:tcBorders>
            <w:shd w:val="clear" w:color="auto" w:fill="auto"/>
            <w:noWrap w:val="0"/>
            <w:vAlign w:val="top"/>
          </w:tcPr>
          <w:p w14:paraId="14822868">
            <w:pPr>
              <w:spacing w:line="100" w:lineRule="atLeast"/>
              <w:jc w:val="center"/>
              <w:rPr>
                <w:sz w:val="24"/>
                <w:szCs w:val="24"/>
              </w:rPr>
            </w:pPr>
            <w:r>
              <w:rPr>
                <w:sz w:val="21"/>
                <w:szCs w:val="21"/>
              </w:rPr>
              <w:t>R$ 499.901,82</w:t>
            </w:r>
          </w:p>
        </w:tc>
      </w:tr>
    </w:tbl>
    <w:p w14:paraId="0242A4E8">
      <w:pPr>
        <w:spacing w:line="100" w:lineRule="atLeast"/>
        <w:jc w:val="both"/>
        <w:rPr>
          <w:rFonts w:eastAsia="Times New Roman"/>
          <w:b/>
          <w:sz w:val="22"/>
          <w:szCs w:val="22"/>
          <w:lang w:eastAsia="en-US"/>
        </w:rPr>
      </w:pPr>
    </w:p>
    <w:p w14:paraId="2D9B88C2">
      <w:pPr>
        <w:spacing w:line="100" w:lineRule="atLeast"/>
        <w:jc w:val="both"/>
        <w:rPr>
          <w:rFonts w:eastAsia="Times New Roman"/>
          <w:b/>
          <w:sz w:val="22"/>
          <w:szCs w:val="22"/>
          <w:lang w:eastAsia="en-US"/>
        </w:rPr>
      </w:pPr>
    </w:p>
    <w:tbl>
      <w:tblPr>
        <w:tblStyle w:val="14"/>
        <w:tblW w:w="0" w:type="auto"/>
        <w:tblInd w:w="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5" w:type="dxa"/>
          <w:left w:w="55" w:type="dxa"/>
          <w:bottom w:w="55" w:type="dxa"/>
          <w:right w:w="55" w:type="dxa"/>
        </w:tblCellMar>
      </w:tblPr>
      <w:tblGrid>
        <w:gridCol w:w="627"/>
        <w:gridCol w:w="668"/>
        <w:gridCol w:w="628"/>
        <w:gridCol w:w="682"/>
        <w:gridCol w:w="3409"/>
        <w:gridCol w:w="791"/>
        <w:gridCol w:w="1295"/>
        <w:gridCol w:w="1255"/>
      </w:tblGrid>
      <w:tr w14:paraId="0A22B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9355" w:type="dxa"/>
            <w:gridSpan w:val="8"/>
            <w:tcBorders>
              <w:tl2br w:val="nil"/>
              <w:tr2bl w:val="nil"/>
            </w:tcBorders>
            <w:shd w:val="clear" w:color="auto" w:fill="auto"/>
            <w:noWrap w:val="0"/>
            <w:vAlign w:val="top"/>
          </w:tcPr>
          <w:p w14:paraId="64D2AF41">
            <w:pPr>
              <w:pStyle w:val="218"/>
              <w:widowControl/>
              <w:suppressLineNumbers/>
              <w:shd w:val="clear" w:color="auto" w:fill="auto"/>
              <w:suppressAutoHyphens/>
              <w:spacing w:line="100" w:lineRule="atLeast"/>
              <w:ind w:left="-57" w:right="57" w:firstLine="0"/>
              <w:jc w:val="center"/>
              <w:rPr>
                <w:sz w:val="28"/>
                <w:szCs w:val="28"/>
              </w:rPr>
            </w:pPr>
            <w:r>
              <w:rPr>
                <w:b/>
                <w:bCs/>
                <w:sz w:val="20"/>
                <w:szCs w:val="20"/>
              </w:rPr>
              <w:t>LOTE II</w:t>
            </w:r>
          </w:p>
        </w:tc>
      </w:tr>
      <w:tr w14:paraId="6BFF5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627" w:type="dxa"/>
            <w:tcBorders>
              <w:tl2br w:val="nil"/>
              <w:tr2bl w:val="nil"/>
            </w:tcBorders>
            <w:shd w:val="clear" w:color="auto" w:fill="auto"/>
            <w:noWrap w:val="0"/>
            <w:vAlign w:val="top"/>
          </w:tcPr>
          <w:p w14:paraId="7CB16B2A">
            <w:pPr>
              <w:pStyle w:val="218"/>
              <w:spacing w:line="100" w:lineRule="atLeast"/>
              <w:jc w:val="center"/>
              <w:rPr>
                <w:rStyle w:val="49"/>
                <w:rFonts w:eastAsia="Times New Roman"/>
                <w:b/>
                <w:bCs/>
                <w:sz w:val="20"/>
                <w:szCs w:val="20"/>
                <w:lang w:val="en-US"/>
              </w:rPr>
            </w:pPr>
            <w:r>
              <w:rPr>
                <w:b/>
                <w:bCs/>
                <w:sz w:val="20"/>
                <w:szCs w:val="20"/>
              </w:rPr>
              <w:t>ITEM</w:t>
            </w:r>
          </w:p>
        </w:tc>
        <w:tc>
          <w:tcPr>
            <w:tcW w:w="668" w:type="dxa"/>
            <w:tcBorders>
              <w:tl2br w:val="nil"/>
              <w:tr2bl w:val="nil"/>
            </w:tcBorders>
            <w:shd w:val="clear" w:color="auto" w:fill="auto"/>
            <w:noWrap w:val="0"/>
            <w:vAlign w:val="top"/>
          </w:tcPr>
          <w:p w14:paraId="22C6A274">
            <w:pPr>
              <w:pStyle w:val="218"/>
              <w:spacing w:line="100" w:lineRule="atLeast"/>
              <w:jc w:val="center"/>
              <w:rPr>
                <w:rFonts w:eastAsia="Times New Roman"/>
                <w:b/>
                <w:bCs/>
                <w:sz w:val="20"/>
                <w:szCs w:val="20"/>
                <w:lang w:val="en-US"/>
              </w:rPr>
            </w:pPr>
            <w:r>
              <w:rPr>
                <w:rStyle w:val="49"/>
                <w:rFonts w:eastAsia="Times New Roman"/>
                <w:b/>
                <w:bCs/>
                <w:sz w:val="20"/>
                <w:szCs w:val="20"/>
                <w:lang w:val="en-US"/>
              </w:rPr>
              <w:t>CÓD SIST</w:t>
            </w:r>
          </w:p>
        </w:tc>
        <w:tc>
          <w:tcPr>
            <w:tcW w:w="628" w:type="dxa"/>
            <w:tcBorders>
              <w:tl2br w:val="nil"/>
              <w:tr2bl w:val="nil"/>
            </w:tcBorders>
            <w:shd w:val="clear" w:color="auto" w:fill="auto"/>
            <w:noWrap w:val="0"/>
            <w:vAlign w:val="top"/>
          </w:tcPr>
          <w:p w14:paraId="78BA1791">
            <w:pPr>
              <w:spacing w:line="100" w:lineRule="atLeast"/>
              <w:jc w:val="center"/>
              <w:rPr>
                <w:rStyle w:val="49"/>
                <w:rFonts w:eastAsia="Times New Roman"/>
                <w:b/>
                <w:bCs/>
                <w:sz w:val="20"/>
                <w:szCs w:val="20"/>
                <w:lang w:val="en-US"/>
              </w:rPr>
            </w:pPr>
            <w:r>
              <w:rPr>
                <w:rFonts w:eastAsia="Times New Roman"/>
                <w:b/>
                <w:bCs/>
                <w:sz w:val="20"/>
                <w:szCs w:val="20"/>
                <w:lang w:val="en-US"/>
              </w:rPr>
              <w:t>CÓD</w:t>
            </w:r>
            <w:r>
              <w:rPr>
                <w:rStyle w:val="49"/>
                <w:rFonts w:eastAsia="Times New Roman"/>
                <w:b/>
                <w:bCs/>
                <w:sz w:val="20"/>
                <w:szCs w:val="20"/>
                <w:lang w:val="en-US"/>
              </w:rPr>
              <w:t>TCE</w:t>
            </w:r>
          </w:p>
        </w:tc>
        <w:tc>
          <w:tcPr>
            <w:tcW w:w="682" w:type="dxa"/>
            <w:tcBorders>
              <w:tl2br w:val="nil"/>
              <w:tr2bl w:val="nil"/>
            </w:tcBorders>
            <w:shd w:val="clear" w:color="auto" w:fill="auto"/>
            <w:noWrap w:val="0"/>
            <w:vAlign w:val="top"/>
          </w:tcPr>
          <w:p w14:paraId="20C1559F">
            <w:pPr>
              <w:pStyle w:val="218"/>
              <w:spacing w:line="100" w:lineRule="atLeast"/>
              <w:jc w:val="center"/>
              <w:rPr>
                <w:rStyle w:val="49"/>
                <w:rFonts w:cs="Arial"/>
                <w:b/>
                <w:bCs/>
                <w:color w:val="000000"/>
                <w:sz w:val="20"/>
                <w:szCs w:val="20"/>
              </w:rPr>
            </w:pPr>
            <w:r>
              <w:rPr>
                <w:rStyle w:val="49"/>
                <w:rFonts w:eastAsia="Times New Roman"/>
                <w:b/>
                <w:bCs/>
                <w:sz w:val="20"/>
                <w:szCs w:val="20"/>
                <w:lang w:val="en-US"/>
              </w:rPr>
              <w:t>UNID</w:t>
            </w:r>
          </w:p>
        </w:tc>
        <w:tc>
          <w:tcPr>
            <w:tcW w:w="3409" w:type="dxa"/>
            <w:tcBorders>
              <w:tl2br w:val="nil"/>
              <w:tr2bl w:val="nil"/>
            </w:tcBorders>
            <w:shd w:val="clear" w:color="auto" w:fill="auto"/>
            <w:noWrap w:val="0"/>
            <w:vAlign w:val="top"/>
          </w:tcPr>
          <w:p w14:paraId="71395818">
            <w:pPr>
              <w:pStyle w:val="218"/>
              <w:spacing w:line="100" w:lineRule="atLeast"/>
              <w:jc w:val="center"/>
              <w:rPr>
                <w:rStyle w:val="49"/>
                <w:rFonts w:eastAsia="Arial" w:cs="Arial"/>
                <w:b/>
                <w:bCs/>
                <w:sz w:val="20"/>
                <w:szCs w:val="20"/>
              </w:rPr>
            </w:pPr>
            <w:r>
              <w:rPr>
                <w:rStyle w:val="49"/>
                <w:rFonts w:cs="Arial"/>
                <w:b/>
                <w:bCs/>
                <w:color w:val="000000"/>
                <w:sz w:val="20"/>
                <w:szCs w:val="20"/>
              </w:rPr>
              <w:t>DESCRIÇÃO</w:t>
            </w:r>
          </w:p>
        </w:tc>
        <w:tc>
          <w:tcPr>
            <w:tcW w:w="791" w:type="dxa"/>
            <w:tcBorders>
              <w:tl2br w:val="nil"/>
              <w:tr2bl w:val="nil"/>
            </w:tcBorders>
            <w:shd w:val="clear" w:color="auto" w:fill="auto"/>
            <w:noWrap w:val="0"/>
            <w:vAlign w:val="top"/>
          </w:tcPr>
          <w:p w14:paraId="5AA2CA5D">
            <w:pPr>
              <w:pStyle w:val="218"/>
              <w:spacing w:line="100" w:lineRule="atLeast"/>
              <w:jc w:val="center"/>
              <w:rPr>
                <w:b/>
                <w:bCs/>
                <w:sz w:val="20"/>
                <w:szCs w:val="20"/>
              </w:rPr>
            </w:pPr>
            <w:r>
              <w:rPr>
                <w:rStyle w:val="49"/>
                <w:rFonts w:eastAsia="Arial" w:cs="Arial"/>
                <w:b/>
                <w:bCs/>
                <w:sz w:val="20"/>
                <w:szCs w:val="20"/>
              </w:rPr>
              <w:t>QTD</w:t>
            </w:r>
          </w:p>
        </w:tc>
        <w:tc>
          <w:tcPr>
            <w:tcW w:w="1295" w:type="dxa"/>
            <w:tcBorders>
              <w:tl2br w:val="nil"/>
              <w:tr2bl w:val="nil"/>
            </w:tcBorders>
            <w:shd w:val="clear" w:color="auto" w:fill="auto"/>
            <w:noWrap w:val="0"/>
            <w:vAlign w:val="top"/>
          </w:tcPr>
          <w:p w14:paraId="63627B03">
            <w:pPr>
              <w:spacing w:line="100" w:lineRule="atLeast"/>
              <w:jc w:val="center"/>
              <w:rPr>
                <w:rFonts w:eastAsia="Liberation Sans" w:cs="Liberation Sans"/>
                <w:b/>
                <w:bCs/>
                <w:sz w:val="20"/>
                <w:szCs w:val="20"/>
                <w:lang w:val="en-US"/>
              </w:rPr>
            </w:pPr>
            <w:r>
              <w:rPr>
                <w:b/>
                <w:bCs/>
                <w:sz w:val="20"/>
                <w:szCs w:val="20"/>
              </w:rPr>
              <w:t>VALOR UNITÁRIO</w:t>
            </w:r>
          </w:p>
        </w:tc>
        <w:tc>
          <w:tcPr>
            <w:tcW w:w="1255" w:type="dxa"/>
            <w:tcBorders>
              <w:tl2br w:val="nil"/>
              <w:tr2bl w:val="nil"/>
            </w:tcBorders>
            <w:shd w:val="clear" w:color="auto" w:fill="auto"/>
            <w:noWrap w:val="0"/>
            <w:vAlign w:val="top"/>
          </w:tcPr>
          <w:p w14:paraId="3783BFED">
            <w:pPr>
              <w:spacing w:line="100" w:lineRule="atLeast"/>
              <w:jc w:val="center"/>
              <w:rPr>
                <w:sz w:val="24"/>
                <w:szCs w:val="24"/>
              </w:rPr>
            </w:pPr>
            <w:r>
              <w:rPr>
                <w:rFonts w:eastAsia="Liberation Sans" w:cs="Liberation Sans"/>
                <w:b/>
                <w:bCs/>
                <w:sz w:val="20"/>
                <w:szCs w:val="20"/>
                <w:lang w:val="en-US"/>
              </w:rPr>
              <w:t xml:space="preserve">VALOR </w:t>
            </w:r>
            <w:r>
              <w:rPr>
                <w:rStyle w:val="49"/>
                <w:rFonts w:eastAsia="Liberation Sans" w:cs="Liberation Sans"/>
                <w:b/>
                <w:bCs/>
                <w:sz w:val="20"/>
                <w:szCs w:val="20"/>
                <w:lang w:val="en-US"/>
              </w:rPr>
              <w:t>TOTAL</w:t>
            </w:r>
          </w:p>
        </w:tc>
      </w:tr>
      <w:tr w14:paraId="26DF7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627" w:type="dxa"/>
            <w:tcBorders>
              <w:tl2br w:val="nil"/>
              <w:tr2bl w:val="nil"/>
            </w:tcBorders>
            <w:shd w:val="clear" w:color="auto" w:fill="auto"/>
            <w:noWrap w:val="0"/>
            <w:vAlign w:val="top"/>
          </w:tcPr>
          <w:p w14:paraId="580EC895">
            <w:pPr>
              <w:pStyle w:val="218"/>
              <w:spacing w:line="100" w:lineRule="atLeast"/>
              <w:jc w:val="center"/>
              <w:rPr>
                <w:sz w:val="21"/>
                <w:szCs w:val="21"/>
              </w:rPr>
            </w:pPr>
          </w:p>
          <w:p w14:paraId="0EB97199">
            <w:pPr>
              <w:pStyle w:val="218"/>
              <w:spacing w:line="100" w:lineRule="atLeast"/>
              <w:jc w:val="center"/>
              <w:rPr>
                <w:sz w:val="21"/>
                <w:szCs w:val="21"/>
              </w:rPr>
            </w:pPr>
            <w:r>
              <w:rPr>
                <w:sz w:val="21"/>
                <w:szCs w:val="21"/>
              </w:rPr>
              <w:t>01</w:t>
            </w:r>
          </w:p>
        </w:tc>
        <w:tc>
          <w:tcPr>
            <w:tcW w:w="668" w:type="dxa"/>
            <w:tcBorders>
              <w:tl2br w:val="nil"/>
              <w:tr2bl w:val="nil"/>
            </w:tcBorders>
            <w:shd w:val="clear" w:color="auto" w:fill="auto"/>
            <w:noWrap w:val="0"/>
            <w:vAlign w:val="top"/>
          </w:tcPr>
          <w:p w14:paraId="5BA5478C">
            <w:pPr>
              <w:pStyle w:val="218"/>
              <w:spacing w:line="100" w:lineRule="atLeast"/>
              <w:jc w:val="center"/>
              <w:rPr>
                <w:sz w:val="21"/>
                <w:szCs w:val="21"/>
              </w:rPr>
            </w:pPr>
          </w:p>
          <w:p w14:paraId="139141B4">
            <w:pPr>
              <w:pStyle w:val="218"/>
              <w:spacing w:line="100" w:lineRule="atLeast"/>
              <w:jc w:val="center"/>
              <w:rPr>
                <w:sz w:val="21"/>
                <w:szCs w:val="21"/>
              </w:rPr>
            </w:pPr>
            <w:r>
              <w:rPr>
                <w:sz w:val="21"/>
                <w:szCs w:val="21"/>
              </w:rPr>
              <w:t>1629</w:t>
            </w:r>
          </w:p>
        </w:tc>
        <w:tc>
          <w:tcPr>
            <w:tcW w:w="628" w:type="dxa"/>
            <w:tcBorders>
              <w:tl2br w:val="nil"/>
              <w:tr2bl w:val="nil"/>
            </w:tcBorders>
            <w:shd w:val="clear" w:color="auto" w:fill="auto"/>
            <w:noWrap w:val="0"/>
            <w:vAlign w:val="top"/>
          </w:tcPr>
          <w:p w14:paraId="0556517A">
            <w:pPr>
              <w:spacing w:line="100" w:lineRule="atLeast"/>
              <w:jc w:val="center"/>
              <w:rPr>
                <w:sz w:val="21"/>
                <w:szCs w:val="21"/>
              </w:rPr>
            </w:pPr>
          </w:p>
          <w:p w14:paraId="665CEF54">
            <w:pPr>
              <w:spacing w:line="100" w:lineRule="atLeast"/>
              <w:jc w:val="center"/>
              <w:rPr>
                <w:sz w:val="21"/>
                <w:szCs w:val="21"/>
              </w:rPr>
            </w:pPr>
            <w:r>
              <w:rPr>
                <w:sz w:val="21"/>
                <w:szCs w:val="21"/>
              </w:rPr>
              <w:t>79572-0</w:t>
            </w:r>
          </w:p>
        </w:tc>
        <w:tc>
          <w:tcPr>
            <w:tcW w:w="682" w:type="dxa"/>
            <w:tcBorders>
              <w:tl2br w:val="nil"/>
              <w:tr2bl w:val="nil"/>
            </w:tcBorders>
            <w:shd w:val="clear" w:color="auto" w:fill="auto"/>
            <w:noWrap w:val="0"/>
            <w:vAlign w:val="top"/>
          </w:tcPr>
          <w:p w14:paraId="4914D45C">
            <w:pPr>
              <w:pStyle w:val="218"/>
              <w:spacing w:line="100" w:lineRule="atLeast"/>
              <w:jc w:val="center"/>
              <w:rPr>
                <w:sz w:val="21"/>
                <w:szCs w:val="21"/>
              </w:rPr>
            </w:pPr>
          </w:p>
          <w:p w14:paraId="3CBC89ED">
            <w:pPr>
              <w:pStyle w:val="218"/>
              <w:spacing w:line="100" w:lineRule="atLeast"/>
              <w:jc w:val="center"/>
              <w:rPr>
                <w:rStyle w:val="49"/>
                <w:rFonts w:eastAsia="Times New Roman" w:cs="Calibri"/>
                <w:b/>
                <w:bCs/>
                <w:i w:val="0"/>
                <w:iCs w:val="0"/>
                <w:color w:val="000000"/>
                <w:position w:val="0"/>
                <w:sz w:val="21"/>
                <w:szCs w:val="21"/>
                <w:vertAlign w:val="baseline"/>
                <w:lang w:val="pt-BR" w:eastAsia="en-US"/>
              </w:rPr>
            </w:pPr>
            <w:r>
              <w:rPr>
                <w:sz w:val="21"/>
                <w:szCs w:val="21"/>
              </w:rPr>
              <w:t>M²</w:t>
            </w:r>
          </w:p>
        </w:tc>
        <w:tc>
          <w:tcPr>
            <w:tcW w:w="3409" w:type="dxa"/>
            <w:tcBorders>
              <w:tl2br w:val="nil"/>
              <w:tr2bl w:val="nil"/>
            </w:tcBorders>
            <w:shd w:val="clear" w:color="auto" w:fill="auto"/>
            <w:noWrap w:val="0"/>
            <w:vAlign w:val="top"/>
          </w:tcPr>
          <w:p w14:paraId="5923964E">
            <w:pPr>
              <w:keepNext w:val="0"/>
              <w:keepLines w:val="0"/>
              <w:widowControl/>
              <w:suppressLineNumbers w:val="0"/>
              <w:spacing w:before="0" w:after="120" w:line="100" w:lineRule="atLeast"/>
              <w:ind w:left="0" w:right="0" w:firstLine="0"/>
              <w:jc w:val="both"/>
              <w:rPr>
                <w:sz w:val="21"/>
                <w:szCs w:val="21"/>
                <w:shd w:val="clear" w:color="auto" w:fill="auto"/>
              </w:rPr>
            </w:pPr>
            <w:r>
              <w:rPr>
                <w:rStyle w:val="49"/>
                <w:rFonts w:eastAsia="Times New Roman" w:cs="Calibri"/>
                <w:b/>
                <w:bCs/>
                <w:i w:val="0"/>
                <w:iCs w:val="0"/>
                <w:color w:val="000000"/>
                <w:position w:val="0"/>
                <w:sz w:val="21"/>
                <w:szCs w:val="21"/>
                <w:vertAlign w:val="baseline"/>
                <w:lang w:val="pt-BR" w:eastAsia="en-US"/>
              </w:rPr>
              <w:t>CALHA DE PAREDE</w:t>
            </w:r>
            <w:r>
              <w:rPr>
                <w:rStyle w:val="49"/>
                <w:rFonts w:eastAsia="Times New Roman" w:cs="Calibri"/>
                <w:b w:val="0"/>
                <w:bCs w:val="0"/>
                <w:i w:val="0"/>
                <w:iCs w:val="0"/>
                <w:color w:val="000000"/>
                <w:position w:val="0"/>
                <w:sz w:val="21"/>
                <w:szCs w:val="21"/>
                <w:vertAlign w:val="baseline"/>
                <w:lang w:val="pt-BR" w:eastAsia="en-US"/>
              </w:rPr>
              <w:t xml:space="preserve"> fabricada em chapa de 0,43 MM com utilização de selante e todo o material necessário para instalação.</w:t>
            </w:r>
          </w:p>
        </w:tc>
        <w:tc>
          <w:tcPr>
            <w:tcW w:w="791" w:type="dxa"/>
            <w:tcBorders>
              <w:tl2br w:val="nil"/>
              <w:tr2bl w:val="nil"/>
            </w:tcBorders>
            <w:shd w:val="clear" w:color="auto" w:fill="auto"/>
            <w:noWrap w:val="0"/>
            <w:vAlign w:val="top"/>
          </w:tcPr>
          <w:p w14:paraId="704D5D61">
            <w:pPr>
              <w:pStyle w:val="218"/>
              <w:spacing w:line="100" w:lineRule="atLeast"/>
              <w:jc w:val="center"/>
              <w:rPr>
                <w:sz w:val="21"/>
                <w:szCs w:val="21"/>
                <w:shd w:val="clear" w:color="auto" w:fill="auto"/>
              </w:rPr>
            </w:pPr>
          </w:p>
          <w:p w14:paraId="52DCE2DA">
            <w:pPr>
              <w:pStyle w:val="218"/>
              <w:spacing w:line="100" w:lineRule="atLeast"/>
              <w:jc w:val="center"/>
              <w:rPr>
                <w:sz w:val="21"/>
                <w:szCs w:val="21"/>
              </w:rPr>
            </w:pPr>
            <w:r>
              <w:rPr>
                <w:sz w:val="21"/>
                <w:szCs w:val="21"/>
                <w:shd w:val="clear" w:color="auto" w:fill="auto"/>
              </w:rPr>
              <w:t>225 m²</w:t>
            </w:r>
          </w:p>
        </w:tc>
        <w:tc>
          <w:tcPr>
            <w:tcW w:w="1295" w:type="dxa"/>
            <w:tcBorders>
              <w:tl2br w:val="nil"/>
              <w:tr2bl w:val="nil"/>
            </w:tcBorders>
            <w:shd w:val="clear" w:color="auto" w:fill="auto"/>
            <w:noWrap w:val="0"/>
            <w:vAlign w:val="top"/>
          </w:tcPr>
          <w:p w14:paraId="33B0ED71">
            <w:pPr>
              <w:pStyle w:val="218"/>
              <w:ind w:left="0" w:right="0" w:firstLine="0"/>
              <w:jc w:val="center"/>
              <w:rPr>
                <w:sz w:val="21"/>
                <w:szCs w:val="21"/>
              </w:rPr>
            </w:pPr>
            <w:r>
              <w:rPr>
                <w:sz w:val="21"/>
                <w:szCs w:val="21"/>
              </w:rPr>
              <w:t>R$119,52</w:t>
            </w:r>
          </w:p>
        </w:tc>
        <w:tc>
          <w:tcPr>
            <w:tcW w:w="1255" w:type="dxa"/>
            <w:tcBorders>
              <w:tl2br w:val="nil"/>
              <w:tr2bl w:val="nil"/>
            </w:tcBorders>
            <w:shd w:val="clear" w:color="auto" w:fill="auto"/>
            <w:noWrap w:val="0"/>
            <w:vAlign w:val="top"/>
          </w:tcPr>
          <w:p w14:paraId="07DC6196">
            <w:pPr>
              <w:pStyle w:val="218"/>
              <w:jc w:val="right"/>
              <w:rPr>
                <w:sz w:val="28"/>
                <w:szCs w:val="28"/>
              </w:rPr>
            </w:pPr>
            <w:r>
              <w:rPr>
                <w:sz w:val="21"/>
                <w:szCs w:val="21"/>
              </w:rPr>
              <w:t>R$ 26,892.00</w:t>
            </w:r>
          </w:p>
        </w:tc>
      </w:tr>
      <w:tr w14:paraId="1B594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627" w:type="dxa"/>
            <w:tcBorders>
              <w:tl2br w:val="nil"/>
              <w:tr2bl w:val="nil"/>
            </w:tcBorders>
            <w:shd w:val="clear" w:color="auto" w:fill="auto"/>
            <w:noWrap w:val="0"/>
            <w:vAlign w:val="top"/>
          </w:tcPr>
          <w:p w14:paraId="1B91598F">
            <w:pPr>
              <w:pStyle w:val="218"/>
              <w:spacing w:line="100" w:lineRule="atLeast"/>
              <w:jc w:val="center"/>
              <w:rPr>
                <w:sz w:val="21"/>
                <w:szCs w:val="21"/>
              </w:rPr>
            </w:pPr>
          </w:p>
          <w:p w14:paraId="203352E2">
            <w:pPr>
              <w:pStyle w:val="218"/>
              <w:spacing w:line="100" w:lineRule="atLeast"/>
              <w:jc w:val="center"/>
              <w:rPr>
                <w:sz w:val="21"/>
                <w:szCs w:val="21"/>
              </w:rPr>
            </w:pPr>
            <w:r>
              <w:rPr>
                <w:sz w:val="21"/>
                <w:szCs w:val="21"/>
              </w:rPr>
              <w:t>02</w:t>
            </w:r>
          </w:p>
        </w:tc>
        <w:tc>
          <w:tcPr>
            <w:tcW w:w="668" w:type="dxa"/>
            <w:tcBorders>
              <w:tl2br w:val="nil"/>
              <w:tr2bl w:val="nil"/>
            </w:tcBorders>
            <w:shd w:val="clear" w:color="auto" w:fill="auto"/>
            <w:noWrap w:val="0"/>
            <w:vAlign w:val="top"/>
          </w:tcPr>
          <w:p w14:paraId="071E9A0C">
            <w:pPr>
              <w:pStyle w:val="218"/>
              <w:spacing w:line="100" w:lineRule="atLeast"/>
              <w:jc w:val="center"/>
              <w:rPr>
                <w:sz w:val="21"/>
                <w:szCs w:val="21"/>
              </w:rPr>
            </w:pPr>
          </w:p>
          <w:p w14:paraId="2839943E">
            <w:pPr>
              <w:pStyle w:val="218"/>
              <w:spacing w:line="100" w:lineRule="atLeast"/>
              <w:jc w:val="center"/>
              <w:rPr>
                <w:sz w:val="21"/>
                <w:szCs w:val="21"/>
              </w:rPr>
            </w:pPr>
            <w:r>
              <w:rPr>
                <w:sz w:val="21"/>
                <w:szCs w:val="21"/>
              </w:rPr>
              <w:t>1630</w:t>
            </w:r>
          </w:p>
        </w:tc>
        <w:tc>
          <w:tcPr>
            <w:tcW w:w="628" w:type="dxa"/>
            <w:tcBorders>
              <w:tl2br w:val="nil"/>
              <w:tr2bl w:val="nil"/>
            </w:tcBorders>
            <w:shd w:val="clear" w:color="auto" w:fill="auto"/>
            <w:noWrap w:val="0"/>
            <w:vAlign w:val="top"/>
          </w:tcPr>
          <w:p w14:paraId="715F2F68">
            <w:pPr>
              <w:spacing w:line="100" w:lineRule="atLeast"/>
              <w:jc w:val="center"/>
              <w:rPr>
                <w:sz w:val="21"/>
                <w:szCs w:val="21"/>
              </w:rPr>
            </w:pPr>
          </w:p>
          <w:p w14:paraId="2C2B45A8">
            <w:pPr>
              <w:spacing w:line="100" w:lineRule="atLeast"/>
              <w:jc w:val="center"/>
              <w:rPr>
                <w:sz w:val="21"/>
                <w:szCs w:val="21"/>
              </w:rPr>
            </w:pPr>
            <w:r>
              <w:rPr>
                <w:sz w:val="21"/>
                <w:szCs w:val="21"/>
              </w:rPr>
              <w:t>79572-0</w:t>
            </w:r>
          </w:p>
        </w:tc>
        <w:tc>
          <w:tcPr>
            <w:tcW w:w="682" w:type="dxa"/>
            <w:tcBorders>
              <w:tl2br w:val="nil"/>
              <w:tr2bl w:val="nil"/>
            </w:tcBorders>
            <w:shd w:val="clear" w:color="auto" w:fill="auto"/>
            <w:noWrap w:val="0"/>
            <w:vAlign w:val="top"/>
          </w:tcPr>
          <w:p w14:paraId="005E3754">
            <w:pPr>
              <w:pStyle w:val="218"/>
              <w:spacing w:line="100" w:lineRule="atLeast"/>
              <w:jc w:val="center"/>
              <w:rPr>
                <w:sz w:val="21"/>
                <w:szCs w:val="21"/>
              </w:rPr>
            </w:pPr>
          </w:p>
          <w:p w14:paraId="146FBE78">
            <w:pPr>
              <w:pStyle w:val="218"/>
              <w:spacing w:line="100" w:lineRule="atLeast"/>
              <w:jc w:val="center"/>
              <w:rPr>
                <w:rStyle w:val="49"/>
                <w:rFonts w:eastAsia="Times New Roman" w:cs="Calibri"/>
                <w:b/>
                <w:bCs/>
                <w:i w:val="0"/>
                <w:iCs w:val="0"/>
                <w:color w:val="000000"/>
                <w:position w:val="0"/>
                <w:sz w:val="21"/>
                <w:szCs w:val="21"/>
                <w:vertAlign w:val="baseline"/>
                <w:lang w:val="pt-BR" w:eastAsia="en-US"/>
              </w:rPr>
            </w:pPr>
            <w:r>
              <w:rPr>
                <w:sz w:val="21"/>
                <w:szCs w:val="21"/>
              </w:rPr>
              <w:t>M²</w:t>
            </w:r>
          </w:p>
        </w:tc>
        <w:tc>
          <w:tcPr>
            <w:tcW w:w="3409" w:type="dxa"/>
            <w:tcBorders>
              <w:tl2br w:val="nil"/>
              <w:tr2bl w:val="nil"/>
            </w:tcBorders>
            <w:shd w:val="clear" w:color="auto" w:fill="auto"/>
            <w:noWrap w:val="0"/>
            <w:vAlign w:val="top"/>
          </w:tcPr>
          <w:p w14:paraId="2107EAF0">
            <w:pPr>
              <w:keepNext w:val="0"/>
              <w:keepLines w:val="0"/>
              <w:widowControl/>
              <w:suppressLineNumbers w:val="0"/>
              <w:spacing w:before="0" w:after="120" w:line="100" w:lineRule="atLeast"/>
              <w:ind w:left="0" w:right="0" w:firstLine="0"/>
              <w:jc w:val="both"/>
              <w:rPr>
                <w:sz w:val="21"/>
                <w:szCs w:val="21"/>
                <w:shd w:val="clear" w:color="auto" w:fill="auto"/>
              </w:rPr>
            </w:pPr>
            <w:r>
              <w:rPr>
                <w:rStyle w:val="49"/>
                <w:rFonts w:eastAsia="Times New Roman" w:cs="Calibri"/>
                <w:b/>
                <w:bCs/>
                <w:i w:val="0"/>
                <w:iCs w:val="0"/>
                <w:color w:val="000000"/>
                <w:position w:val="0"/>
                <w:sz w:val="21"/>
                <w:szCs w:val="21"/>
                <w:vertAlign w:val="baseline"/>
                <w:lang w:val="pt-BR" w:eastAsia="en-US"/>
              </w:rPr>
              <w:t>CALHA DE DUAS ABAS</w:t>
            </w:r>
            <w:r>
              <w:rPr>
                <w:rStyle w:val="49"/>
                <w:rFonts w:eastAsia="Times New Roman" w:cs="Calibri"/>
                <w:b w:val="0"/>
                <w:bCs w:val="0"/>
                <w:i w:val="0"/>
                <w:iCs w:val="0"/>
                <w:color w:val="000000"/>
                <w:position w:val="0"/>
                <w:sz w:val="21"/>
                <w:szCs w:val="21"/>
                <w:vertAlign w:val="baseline"/>
                <w:lang w:val="pt-BR" w:eastAsia="en-US"/>
              </w:rPr>
              <w:t xml:space="preserve"> fabricada em chapa de 0,43 MM com utilização de selante e todo o material necessário para instalação.</w:t>
            </w:r>
          </w:p>
        </w:tc>
        <w:tc>
          <w:tcPr>
            <w:tcW w:w="791" w:type="dxa"/>
            <w:tcBorders>
              <w:tl2br w:val="nil"/>
              <w:tr2bl w:val="nil"/>
            </w:tcBorders>
            <w:shd w:val="clear" w:color="auto" w:fill="auto"/>
            <w:noWrap w:val="0"/>
            <w:vAlign w:val="top"/>
          </w:tcPr>
          <w:p w14:paraId="664091B8">
            <w:pPr>
              <w:pStyle w:val="218"/>
              <w:spacing w:line="100" w:lineRule="atLeast"/>
              <w:jc w:val="center"/>
              <w:rPr>
                <w:sz w:val="21"/>
                <w:szCs w:val="21"/>
                <w:shd w:val="clear" w:color="auto" w:fill="auto"/>
              </w:rPr>
            </w:pPr>
          </w:p>
          <w:p w14:paraId="316EDE1F">
            <w:pPr>
              <w:pStyle w:val="218"/>
              <w:spacing w:line="100" w:lineRule="atLeast"/>
              <w:jc w:val="center"/>
              <w:rPr>
                <w:sz w:val="21"/>
                <w:szCs w:val="21"/>
              </w:rPr>
            </w:pPr>
            <w:r>
              <w:rPr>
                <w:sz w:val="21"/>
                <w:szCs w:val="21"/>
                <w:shd w:val="clear" w:color="auto" w:fill="auto"/>
              </w:rPr>
              <w:t>110 m²</w:t>
            </w:r>
          </w:p>
        </w:tc>
        <w:tc>
          <w:tcPr>
            <w:tcW w:w="1295" w:type="dxa"/>
            <w:tcBorders>
              <w:tl2br w:val="nil"/>
              <w:tr2bl w:val="nil"/>
            </w:tcBorders>
            <w:shd w:val="clear" w:color="auto" w:fill="auto"/>
            <w:noWrap w:val="0"/>
            <w:vAlign w:val="top"/>
          </w:tcPr>
          <w:p w14:paraId="433D2BA9">
            <w:pPr>
              <w:pStyle w:val="218"/>
              <w:ind w:left="0" w:right="0" w:firstLine="0"/>
              <w:jc w:val="center"/>
              <w:rPr>
                <w:sz w:val="21"/>
                <w:szCs w:val="21"/>
              </w:rPr>
            </w:pPr>
            <w:r>
              <w:rPr>
                <w:sz w:val="21"/>
                <w:szCs w:val="21"/>
              </w:rPr>
              <w:t>R$120,04</w:t>
            </w:r>
          </w:p>
        </w:tc>
        <w:tc>
          <w:tcPr>
            <w:tcW w:w="1255" w:type="dxa"/>
            <w:tcBorders>
              <w:tl2br w:val="nil"/>
              <w:tr2bl w:val="nil"/>
            </w:tcBorders>
            <w:shd w:val="clear" w:color="auto" w:fill="auto"/>
            <w:noWrap w:val="0"/>
            <w:vAlign w:val="top"/>
          </w:tcPr>
          <w:p w14:paraId="43C3AA1C">
            <w:pPr>
              <w:pStyle w:val="218"/>
              <w:jc w:val="right"/>
              <w:rPr>
                <w:sz w:val="28"/>
                <w:szCs w:val="28"/>
              </w:rPr>
            </w:pPr>
            <w:r>
              <w:rPr>
                <w:sz w:val="21"/>
                <w:szCs w:val="21"/>
              </w:rPr>
              <w:t>R$ 13,204.40</w:t>
            </w:r>
          </w:p>
        </w:tc>
      </w:tr>
      <w:tr w14:paraId="5C36A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627" w:type="dxa"/>
            <w:tcBorders>
              <w:tl2br w:val="nil"/>
              <w:tr2bl w:val="nil"/>
            </w:tcBorders>
            <w:shd w:val="clear" w:color="auto" w:fill="auto"/>
            <w:noWrap w:val="0"/>
            <w:vAlign w:val="top"/>
          </w:tcPr>
          <w:p w14:paraId="4E3DBDD6">
            <w:pPr>
              <w:pStyle w:val="218"/>
              <w:spacing w:line="100" w:lineRule="atLeast"/>
              <w:jc w:val="center"/>
              <w:rPr>
                <w:sz w:val="21"/>
                <w:szCs w:val="21"/>
              </w:rPr>
            </w:pPr>
          </w:p>
          <w:p w14:paraId="379CD996">
            <w:pPr>
              <w:pStyle w:val="218"/>
              <w:spacing w:line="100" w:lineRule="atLeast"/>
              <w:jc w:val="center"/>
              <w:rPr>
                <w:sz w:val="21"/>
                <w:szCs w:val="21"/>
              </w:rPr>
            </w:pPr>
            <w:r>
              <w:rPr>
                <w:sz w:val="21"/>
                <w:szCs w:val="21"/>
              </w:rPr>
              <w:t>03</w:t>
            </w:r>
          </w:p>
        </w:tc>
        <w:tc>
          <w:tcPr>
            <w:tcW w:w="668" w:type="dxa"/>
            <w:tcBorders>
              <w:tl2br w:val="nil"/>
              <w:tr2bl w:val="nil"/>
            </w:tcBorders>
            <w:shd w:val="clear" w:color="auto" w:fill="auto"/>
            <w:noWrap w:val="0"/>
            <w:vAlign w:val="top"/>
          </w:tcPr>
          <w:p w14:paraId="0A02BE52">
            <w:pPr>
              <w:pStyle w:val="218"/>
              <w:spacing w:line="100" w:lineRule="atLeast"/>
              <w:jc w:val="center"/>
              <w:rPr>
                <w:sz w:val="21"/>
                <w:szCs w:val="21"/>
              </w:rPr>
            </w:pPr>
          </w:p>
          <w:p w14:paraId="4D9D1878">
            <w:pPr>
              <w:pStyle w:val="218"/>
              <w:spacing w:line="100" w:lineRule="atLeast"/>
              <w:jc w:val="center"/>
              <w:rPr>
                <w:sz w:val="21"/>
                <w:szCs w:val="21"/>
              </w:rPr>
            </w:pPr>
            <w:r>
              <w:rPr>
                <w:sz w:val="21"/>
                <w:szCs w:val="21"/>
              </w:rPr>
              <w:t>1631</w:t>
            </w:r>
          </w:p>
        </w:tc>
        <w:tc>
          <w:tcPr>
            <w:tcW w:w="628" w:type="dxa"/>
            <w:tcBorders>
              <w:tl2br w:val="nil"/>
              <w:tr2bl w:val="nil"/>
            </w:tcBorders>
            <w:shd w:val="clear" w:color="auto" w:fill="auto"/>
            <w:noWrap w:val="0"/>
            <w:vAlign w:val="top"/>
          </w:tcPr>
          <w:p w14:paraId="0D43F115">
            <w:pPr>
              <w:spacing w:line="100" w:lineRule="atLeast"/>
              <w:jc w:val="center"/>
              <w:rPr>
                <w:sz w:val="21"/>
                <w:szCs w:val="21"/>
              </w:rPr>
            </w:pPr>
          </w:p>
          <w:p w14:paraId="39567B62">
            <w:pPr>
              <w:spacing w:line="100" w:lineRule="atLeast"/>
              <w:jc w:val="center"/>
              <w:rPr>
                <w:sz w:val="21"/>
                <w:szCs w:val="21"/>
              </w:rPr>
            </w:pPr>
            <w:r>
              <w:rPr>
                <w:sz w:val="21"/>
                <w:szCs w:val="21"/>
              </w:rPr>
              <w:t>63743-2</w:t>
            </w:r>
          </w:p>
        </w:tc>
        <w:tc>
          <w:tcPr>
            <w:tcW w:w="682" w:type="dxa"/>
            <w:tcBorders>
              <w:tl2br w:val="nil"/>
              <w:tr2bl w:val="nil"/>
            </w:tcBorders>
            <w:shd w:val="clear" w:color="auto" w:fill="auto"/>
            <w:noWrap w:val="0"/>
            <w:vAlign w:val="top"/>
          </w:tcPr>
          <w:p w14:paraId="03156BF3">
            <w:pPr>
              <w:pStyle w:val="218"/>
              <w:spacing w:line="100" w:lineRule="atLeast"/>
              <w:jc w:val="center"/>
              <w:rPr>
                <w:sz w:val="21"/>
                <w:szCs w:val="21"/>
              </w:rPr>
            </w:pPr>
          </w:p>
          <w:p w14:paraId="376F1D6E">
            <w:pPr>
              <w:pStyle w:val="218"/>
              <w:spacing w:line="100" w:lineRule="atLeast"/>
              <w:jc w:val="center"/>
              <w:rPr>
                <w:rStyle w:val="49"/>
                <w:rFonts w:eastAsia="Times New Roman" w:cs="Calibri"/>
                <w:b/>
                <w:bCs/>
                <w:i w:val="0"/>
                <w:iCs w:val="0"/>
                <w:color w:val="000000"/>
                <w:position w:val="0"/>
                <w:sz w:val="21"/>
                <w:szCs w:val="21"/>
                <w:vertAlign w:val="baseline"/>
                <w:lang w:val="pt-BR" w:eastAsia="en-US"/>
              </w:rPr>
            </w:pPr>
            <w:r>
              <w:rPr>
                <w:sz w:val="21"/>
                <w:szCs w:val="21"/>
              </w:rPr>
              <w:t>M²</w:t>
            </w:r>
          </w:p>
        </w:tc>
        <w:tc>
          <w:tcPr>
            <w:tcW w:w="3409" w:type="dxa"/>
            <w:tcBorders>
              <w:tl2br w:val="nil"/>
              <w:tr2bl w:val="nil"/>
            </w:tcBorders>
            <w:shd w:val="clear" w:color="auto" w:fill="auto"/>
            <w:noWrap w:val="0"/>
            <w:vAlign w:val="top"/>
          </w:tcPr>
          <w:p w14:paraId="772BA370">
            <w:pPr>
              <w:keepNext w:val="0"/>
              <w:keepLines w:val="0"/>
              <w:widowControl/>
              <w:suppressLineNumbers w:val="0"/>
              <w:spacing w:before="0" w:after="120" w:line="100" w:lineRule="atLeast"/>
              <w:ind w:left="0" w:right="0" w:firstLine="0"/>
              <w:jc w:val="both"/>
              <w:rPr>
                <w:sz w:val="21"/>
                <w:szCs w:val="21"/>
                <w:shd w:val="clear" w:color="auto" w:fill="auto"/>
              </w:rPr>
            </w:pPr>
            <w:r>
              <w:rPr>
                <w:rStyle w:val="49"/>
                <w:rFonts w:eastAsia="Times New Roman" w:cs="Calibri"/>
                <w:b/>
                <w:bCs/>
                <w:i w:val="0"/>
                <w:iCs w:val="0"/>
                <w:color w:val="000000"/>
                <w:position w:val="0"/>
                <w:sz w:val="21"/>
                <w:szCs w:val="21"/>
                <w:vertAlign w:val="baseline"/>
                <w:lang w:val="pt-BR" w:eastAsia="en-US"/>
              </w:rPr>
              <w:t>RUFOS</w:t>
            </w:r>
            <w:r>
              <w:rPr>
                <w:rStyle w:val="49"/>
                <w:rFonts w:eastAsia="Times New Roman" w:cs="Calibri"/>
                <w:b w:val="0"/>
                <w:bCs w:val="0"/>
                <w:i w:val="0"/>
                <w:iCs w:val="0"/>
                <w:color w:val="000000"/>
                <w:position w:val="0"/>
                <w:sz w:val="21"/>
                <w:szCs w:val="21"/>
                <w:vertAlign w:val="baseline"/>
                <w:lang w:val="pt-BR" w:eastAsia="en-US"/>
              </w:rPr>
              <w:t xml:space="preserve"> fabricados em chapa de 0,43 MM com utilização de selante e todo o material necessário para instalação.</w:t>
            </w:r>
          </w:p>
        </w:tc>
        <w:tc>
          <w:tcPr>
            <w:tcW w:w="791" w:type="dxa"/>
            <w:tcBorders>
              <w:tl2br w:val="nil"/>
              <w:tr2bl w:val="nil"/>
            </w:tcBorders>
            <w:shd w:val="clear" w:color="auto" w:fill="auto"/>
            <w:noWrap w:val="0"/>
            <w:vAlign w:val="top"/>
          </w:tcPr>
          <w:p w14:paraId="5A576B85">
            <w:pPr>
              <w:pStyle w:val="218"/>
              <w:spacing w:line="100" w:lineRule="atLeast"/>
              <w:jc w:val="center"/>
              <w:rPr>
                <w:sz w:val="21"/>
                <w:szCs w:val="21"/>
                <w:shd w:val="clear" w:color="auto" w:fill="auto"/>
              </w:rPr>
            </w:pPr>
          </w:p>
          <w:p w14:paraId="789D5F71">
            <w:pPr>
              <w:pStyle w:val="218"/>
              <w:spacing w:line="100" w:lineRule="atLeast"/>
              <w:jc w:val="center"/>
              <w:rPr>
                <w:sz w:val="21"/>
                <w:szCs w:val="21"/>
              </w:rPr>
            </w:pPr>
            <w:r>
              <w:rPr>
                <w:sz w:val="21"/>
                <w:szCs w:val="21"/>
                <w:shd w:val="clear" w:color="auto" w:fill="auto"/>
              </w:rPr>
              <w:t>155 m²</w:t>
            </w:r>
          </w:p>
        </w:tc>
        <w:tc>
          <w:tcPr>
            <w:tcW w:w="1295" w:type="dxa"/>
            <w:tcBorders>
              <w:tl2br w:val="nil"/>
              <w:tr2bl w:val="nil"/>
            </w:tcBorders>
            <w:shd w:val="clear" w:color="auto" w:fill="auto"/>
            <w:noWrap w:val="0"/>
            <w:vAlign w:val="top"/>
          </w:tcPr>
          <w:p w14:paraId="627E42C0">
            <w:pPr>
              <w:pStyle w:val="218"/>
              <w:ind w:left="0" w:right="0" w:firstLine="0"/>
              <w:jc w:val="center"/>
              <w:rPr>
                <w:sz w:val="21"/>
                <w:szCs w:val="21"/>
              </w:rPr>
            </w:pPr>
            <w:r>
              <w:rPr>
                <w:sz w:val="21"/>
                <w:szCs w:val="21"/>
              </w:rPr>
              <w:t>R$118,14</w:t>
            </w:r>
          </w:p>
        </w:tc>
        <w:tc>
          <w:tcPr>
            <w:tcW w:w="1255" w:type="dxa"/>
            <w:tcBorders>
              <w:tl2br w:val="nil"/>
              <w:tr2bl w:val="nil"/>
            </w:tcBorders>
            <w:shd w:val="clear" w:color="auto" w:fill="auto"/>
            <w:noWrap w:val="0"/>
            <w:vAlign w:val="top"/>
          </w:tcPr>
          <w:p w14:paraId="29D18304">
            <w:pPr>
              <w:pStyle w:val="218"/>
              <w:jc w:val="right"/>
              <w:rPr>
                <w:sz w:val="28"/>
                <w:szCs w:val="28"/>
              </w:rPr>
            </w:pPr>
            <w:r>
              <w:rPr>
                <w:sz w:val="21"/>
                <w:szCs w:val="21"/>
              </w:rPr>
              <w:t>R$ 18,311.70</w:t>
            </w:r>
          </w:p>
        </w:tc>
      </w:tr>
      <w:tr w14:paraId="0DFBF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627" w:type="dxa"/>
            <w:tcBorders>
              <w:tl2br w:val="nil"/>
              <w:tr2bl w:val="nil"/>
            </w:tcBorders>
            <w:shd w:val="clear" w:color="auto" w:fill="auto"/>
            <w:noWrap w:val="0"/>
            <w:vAlign w:val="top"/>
          </w:tcPr>
          <w:p w14:paraId="44E594C9">
            <w:pPr>
              <w:pStyle w:val="218"/>
              <w:spacing w:line="100" w:lineRule="atLeast"/>
              <w:jc w:val="center"/>
              <w:rPr>
                <w:sz w:val="21"/>
                <w:szCs w:val="21"/>
              </w:rPr>
            </w:pPr>
          </w:p>
          <w:p w14:paraId="33CE3275">
            <w:pPr>
              <w:pStyle w:val="218"/>
              <w:spacing w:line="100" w:lineRule="atLeast"/>
              <w:jc w:val="center"/>
              <w:rPr>
                <w:sz w:val="21"/>
                <w:szCs w:val="21"/>
              </w:rPr>
            </w:pPr>
            <w:r>
              <w:rPr>
                <w:sz w:val="21"/>
                <w:szCs w:val="21"/>
              </w:rPr>
              <w:t>04</w:t>
            </w:r>
          </w:p>
        </w:tc>
        <w:tc>
          <w:tcPr>
            <w:tcW w:w="668" w:type="dxa"/>
            <w:tcBorders>
              <w:tl2br w:val="nil"/>
              <w:tr2bl w:val="nil"/>
            </w:tcBorders>
            <w:shd w:val="clear" w:color="auto" w:fill="auto"/>
            <w:noWrap w:val="0"/>
            <w:vAlign w:val="top"/>
          </w:tcPr>
          <w:p w14:paraId="0CA044FD">
            <w:pPr>
              <w:pStyle w:val="218"/>
              <w:spacing w:line="100" w:lineRule="atLeast"/>
              <w:jc w:val="center"/>
              <w:rPr>
                <w:sz w:val="21"/>
                <w:szCs w:val="21"/>
              </w:rPr>
            </w:pPr>
          </w:p>
          <w:p w14:paraId="1EACD211">
            <w:pPr>
              <w:pStyle w:val="218"/>
              <w:spacing w:line="100" w:lineRule="atLeast"/>
              <w:jc w:val="center"/>
              <w:rPr>
                <w:sz w:val="21"/>
                <w:szCs w:val="21"/>
              </w:rPr>
            </w:pPr>
            <w:r>
              <w:rPr>
                <w:sz w:val="21"/>
                <w:szCs w:val="21"/>
              </w:rPr>
              <w:t>1632</w:t>
            </w:r>
          </w:p>
          <w:p w14:paraId="7E65092F">
            <w:pPr>
              <w:pStyle w:val="218"/>
              <w:spacing w:line="100" w:lineRule="atLeast"/>
              <w:jc w:val="center"/>
              <w:rPr>
                <w:sz w:val="21"/>
                <w:szCs w:val="21"/>
              </w:rPr>
            </w:pPr>
          </w:p>
        </w:tc>
        <w:tc>
          <w:tcPr>
            <w:tcW w:w="628" w:type="dxa"/>
            <w:tcBorders>
              <w:tl2br w:val="nil"/>
              <w:tr2bl w:val="nil"/>
            </w:tcBorders>
            <w:shd w:val="clear" w:color="auto" w:fill="auto"/>
            <w:noWrap w:val="0"/>
            <w:vAlign w:val="top"/>
          </w:tcPr>
          <w:p w14:paraId="5B53DB34">
            <w:pPr>
              <w:spacing w:line="100" w:lineRule="atLeast"/>
              <w:jc w:val="center"/>
              <w:rPr>
                <w:sz w:val="21"/>
                <w:szCs w:val="21"/>
              </w:rPr>
            </w:pPr>
          </w:p>
          <w:p w14:paraId="265D70D2">
            <w:pPr>
              <w:spacing w:line="100" w:lineRule="atLeast"/>
              <w:jc w:val="center"/>
              <w:rPr>
                <w:sz w:val="21"/>
                <w:szCs w:val="21"/>
              </w:rPr>
            </w:pPr>
            <w:r>
              <w:rPr>
                <w:sz w:val="21"/>
                <w:szCs w:val="21"/>
              </w:rPr>
              <w:t>0002475</w:t>
            </w:r>
          </w:p>
        </w:tc>
        <w:tc>
          <w:tcPr>
            <w:tcW w:w="682" w:type="dxa"/>
            <w:tcBorders>
              <w:tl2br w:val="nil"/>
              <w:tr2bl w:val="nil"/>
            </w:tcBorders>
            <w:shd w:val="clear" w:color="auto" w:fill="auto"/>
            <w:noWrap w:val="0"/>
            <w:vAlign w:val="top"/>
          </w:tcPr>
          <w:p w14:paraId="3259C595">
            <w:pPr>
              <w:pStyle w:val="218"/>
              <w:spacing w:line="100" w:lineRule="atLeast"/>
              <w:jc w:val="center"/>
              <w:rPr>
                <w:sz w:val="21"/>
                <w:szCs w:val="21"/>
              </w:rPr>
            </w:pPr>
          </w:p>
          <w:p w14:paraId="76DE4939">
            <w:pPr>
              <w:pStyle w:val="218"/>
              <w:spacing w:line="100" w:lineRule="atLeast"/>
              <w:jc w:val="center"/>
              <w:rPr>
                <w:rStyle w:val="49"/>
                <w:rFonts w:eastAsia="Times New Roman" w:cs="Calibri"/>
                <w:b/>
                <w:bCs/>
                <w:i w:val="0"/>
                <w:iCs w:val="0"/>
                <w:color w:val="000000"/>
                <w:position w:val="0"/>
                <w:sz w:val="21"/>
                <w:szCs w:val="21"/>
                <w:vertAlign w:val="baseline"/>
                <w:lang w:val="pt-BR" w:eastAsia="en-US"/>
              </w:rPr>
            </w:pPr>
            <w:r>
              <w:rPr>
                <w:sz w:val="21"/>
                <w:szCs w:val="21"/>
              </w:rPr>
              <w:t>M²</w:t>
            </w:r>
          </w:p>
        </w:tc>
        <w:tc>
          <w:tcPr>
            <w:tcW w:w="3409" w:type="dxa"/>
            <w:tcBorders>
              <w:tl2br w:val="nil"/>
              <w:tr2bl w:val="nil"/>
            </w:tcBorders>
            <w:shd w:val="clear" w:color="auto" w:fill="auto"/>
            <w:noWrap w:val="0"/>
            <w:vAlign w:val="top"/>
          </w:tcPr>
          <w:p w14:paraId="6010495A">
            <w:pPr>
              <w:keepNext w:val="0"/>
              <w:keepLines w:val="0"/>
              <w:widowControl/>
              <w:suppressLineNumbers w:val="0"/>
              <w:spacing w:before="0" w:after="120" w:line="100" w:lineRule="atLeast"/>
              <w:ind w:left="0" w:right="0" w:firstLine="0"/>
              <w:jc w:val="both"/>
              <w:rPr>
                <w:sz w:val="21"/>
                <w:szCs w:val="21"/>
                <w:shd w:val="clear" w:color="auto" w:fill="auto"/>
              </w:rPr>
            </w:pPr>
            <w:r>
              <w:rPr>
                <w:rStyle w:val="49"/>
                <w:rFonts w:eastAsia="Times New Roman" w:cs="Calibri"/>
                <w:b/>
                <w:bCs/>
                <w:i w:val="0"/>
                <w:iCs w:val="0"/>
                <w:color w:val="000000"/>
                <w:position w:val="0"/>
                <w:sz w:val="21"/>
                <w:szCs w:val="21"/>
                <w:vertAlign w:val="baseline"/>
                <w:lang w:val="pt-BR" w:eastAsia="en-US"/>
              </w:rPr>
              <w:t>PINGADEIRAS</w:t>
            </w:r>
            <w:r>
              <w:rPr>
                <w:rStyle w:val="49"/>
                <w:rFonts w:eastAsia="Times New Roman" w:cs="Calibri"/>
                <w:b w:val="0"/>
                <w:bCs w:val="0"/>
                <w:i w:val="0"/>
                <w:iCs w:val="0"/>
                <w:color w:val="000000"/>
                <w:position w:val="0"/>
                <w:sz w:val="21"/>
                <w:szCs w:val="21"/>
                <w:vertAlign w:val="baseline"/>
                <w:lang w:val="pt-BR" w:eastAsia="en-US"/>
              </w:rPr>
              <w:t xml:space="preserve"> fabricadas em chapa de 0,43 MM com utilização de selante e todo o material necessário para instalação.</w:t>
            </w:r>
          </w:p>
        </w:tc>
        <w:tc>
          <w:tcPr>
            <w:tcW w:w="791" w:type="dxa"/>
            <w:tcBorders>
              <w:tl2br w:val="nil"/>
              <w:tr2bl w:val="nil"/>
            </w:tcBorders>
            <w:shd w:val="clear" w:color="auto" w:fill="auto"/>
            <w:noWrap w:val="0"/>
            <w:vAlign w:val="top"/>
          </w:tcPr>
          <w:p w14:paraId="6F4EF0DB">
            <w:pPr>
              <w:pStyle w:val="218"/>
              <w:spacing w:line="100" w:lineRule="atLeast"/>
              <w:jc w:val="center"/>
              <w:rPr>
                <w:sz w:val="21"/>
                <w:szCs w:val="21"/>
                <w:shd w:val="clear" w:color="auto" w:fill="auto"/>
              </w:rPr>
            </w:pPr>
          </w:p>
          <w:p w14:paraId="1A2BC5EF">
            <w:pPr>
              <w:pStyle w:val="218"/>
              <w:spacing w:line="100" w:lineRule="atLeast"/>
              <w:jc w:val="center"/>
              <w:rPr>
                <w:sz w:val="21"/>
                <w:szCs w:val="21"/>
              </w:rPr>
            </w:pPr>
            <w:r>
              <w:rPr>
                <w:sz w:val="21"/>
                <w:szCs w:val="21"/>
                <w:shd w:val="clear" w:color="auto" w:fill="auto"/>
              </w:rPr>
              <w:t>105 m²</w:t>
            </w:r>
          </w:p>
        </w:tc>
        <w:tc>
          <w:tcPr>
            <w:tcW w:w="1295" w:type="dxa"/>
            <w:tcBorders>
              <w:tl2br w:val="nil"/>
              <w:tr2bl w:val="nil"/>
            </w:tcBorders>
            <w:shd w:val="clear" w:color="auto" w:fill="auto"/>
            <w:noWrap w:val="0"/>
            <w:vAlign w:val="top"/>
          </w:tcPr>
          <w:p w14:paraId="713170F8">
            <w:pPr>
              <w:pStyle w:val="218"/>
              <w:ind w:left="0" w:right="0" w:firstLine="0"/>
              <w:jc w:val="center"/>
              <w:rPr>
                <w:sz w:val="21"/>
                <w:szCs w:val="21"/>
              </w:rPr>
            </w:pPr>
            <w:r>
              <w:rPr>
                <w:sz w:val="21"/>
                <w:szCs w:val="21"/>
              </w:rPr>
              <w:t>R$124,69</w:t>
            </w:r>
          </w:p>
        </w:tc>
        <w:tc>
          <w:tcPr>
            <w:tcW w:w="1255" w:type="dxa"/>
            <w:tcBorders>
              <w:tl2br w:val="nil"/>
              <w:tr2bl w:val="nil"/>
            </w:tcBorders>
            <w:shd w:val="clear" w:color="auto" w:fill="auto"/>
            <w:noWrap w:val="0"/>
            <w:vAlign w:val="top"/>
          </w:tcPr>
          <w:p w14:paraId="4ED38582">
            <w:pPr>
              <w:pStyle w:val="218"/>
              <w:jc w:val="right"/>
              <w:rPr>
                <w:sz w:val="28"/>
                <w:szCs w:val="28"/>
              </w:rPr>
            </w:pPr>
            <w:r>
              <w:rPr>
                <w:sz w:val="21"/>
                <w:szCs w:val="21"/>
              </w:rPr>
              <w:t>R$ 13,092.45</w:t>
            </w:r>
          </w:p>
        </w:tc>
      </w:tr>
      <w:tr w14:paraId="438FD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627" w:type="dxa"/>
            <w:tcBorders>
              <w:tl2br w:val="nil"/>
              <w:tr2bl w:val="nil"/>
            </w:tcBorders>
            <w:shd w:val="clear" w:color="auto" w:fill="auto"/>
            <w:noWrap w:val="0"/>
            <w:vAlign w:val="top"/>
          </w:tcPr>
          <w:p w14:paraId="1DEBCCC8">
            <w:pPr>
              <w:pStyle w:val="218"/>
              <w:spacing w:line="100" w:lineRule="atLeast"/>
              <w:jc w:val="center"/>
              <w:rPr>
                <w:sz w:val="21"/>
                <w:szCs w:val="21"/>
              </w:rPr>
            </w:pPr>
          </w:p>
          <w:p w14:paraId="42B3125B">
            <w:pPr>
              <w:pStyle w:val="218"/>
              <w:spacing w:line="100" w:lineRule="atLeast"/>
              <w:jc w:val="center"/>
              <w:rPr>
                <w:sz w:val="21"/>
                <w:szCs w:val="21"/>
              </w:rPr>
            </w:pPr>
            <w:r>
              <w:rPr>
                <w:sz w:val="21"/>
                <w:szCs w:val="21"/>
              </w:rPr>
              <w:t>05</w:t>
            </w:r>
          </w:p>
        </w:tc>
        <w:tc>
          <w:tcPr>
            <w:tcW w:w="668" w:type="dxa"/>
            <w:tcBorders>
              <w:tl2br w:val="nil"/>
              <w:tr2bl w:val="nil"/>
            </w:tcBorders>
            <w:shd w:val="clear" w:color="auto" w:fill="auto"/>
            <w:noWrap w:val="0"/>
            <w:vAlign w:val="top"/>
          </w:tcPr>
          <w:p w14:paraId="2D42CEB0">
            <w:pPr>
              <w:pStyle w:val="218"/>
              <w:spacing w:line="100" w:lineRule="atLeast"/>
              <w:jc w:val="center"/>
              <w:rPr>
                <w:sz w:val="21"/>
                <w:szCs w:val="21"/>
              </w:rPr>
            </w:pPr>
          </w:p>
          <w:p w14:paraId="25924588">
            <w:pPr>
              <w:pStyle w:val="218"/>
              <w:spacing w:line="100" w:lineRule="atLeast"/>
              <w:jc w:val="center"/>
              <w:rPr>
                <w:sz w:val="21"/>
                <w:szCs w:val="21"/>
              </w:rPr>
            </w:pPr>
            <w:r>
              <w:rPr>
                <w:sz w:val="21"/>
                <w:szCs w:val="21"/>
              </w:rPr>
              <w:t>1633</w:t>
            </w:r>
          </w:p>
        </w:tc>
        <w:tc>
          <w:tcPr>
            <w:tcW w:w="628" w:type="dxa"/>
            <w:tcBorders>
              <w:tl2br w:val="nil"/>
              <w:tr2bl w:val="nil"/>
            </w:tcBorders>
            <w:shd w:val="clear" w:color="auto" w:fill="auto"/>
            <w:noWrap w:val="0"/>
            <w:vAlign w:val="top"/>
          </w:tcPr>
          <w:p w14:paraId="49F6B50E">
            <w:pPr>
              <w:spacing w:line="100" w:lineRule="atLeast"/>
              <w:jc w:val="center"/>
              <w:rPr>
                <w:sz w:val="21"/>
                <w:szCs w:val="21"/>
              </w:rPr>
            </w:pPr>
          </w:p>
          <w:p w14:paraId="7B1E197D">
            <w:pPr>
              <w:spacing w:line="100" w:lineRule="atLeast"/>
              <w:jc w:val="center"/>
              <w:rPr>
                <w:sz w:val="21"/>
                <w:szCs w:val="21"/>
              </w:rPr>
            </w:pPr>
            <w:r>
              <w:rPr>
                <w:sz w:val="21"/>
                <w:szCs w:val="21"/>
              </w:rPr>
              <w:t>0002475</w:t>
            </w:r>
          </w:p>
        </w:tc>
        <w:tc>
          <w:tcPr>
            <w:tcW w:w="682" w:type="dxa"/>
            <w:tcBorders>
              <w:tl2br w:val="nil"/>
              <w:tr2bl w:val="nil"/>
            </w:tcBorders>
            <w:shd w:val="clear" w:color="auto" w:fill="auto"/>
            <w:noWrap w:val="0"/>
            <w:vAlign w:val="top"/>
          </w:tcPr>
          <w:p w14:paraId="429F8B53">
            <w:pPr>
              <w:pStyle w:val="218"/>
              <w:spacing w:line="100" w:lineRule="atLeast"/>
              <w:jc w:val="center"/>
              <w:rPr>
                <w:sz w:val="21"/>
                <w:szCs w:val="21"/>
              </w:rPr>
            </w:pPr>
          </w:p>
          <w:p w14:paraId="0BF3978F">
            <w:pPr>
              <w:pStyle w:val="218"/>
              <w:spacing w:line="100" w:lineRule="atLeast"/>
              <w:jc w:val="center"/>
              <w:rPr>
                <w:rStyle w:val="49"/>
                <w:rFonts w:eastAsia="Times New Roman" w:cs="Calibri"/>
                <w:b/>
                <w:bCs/>
                <w:i w:val="0"/>
                <w:iCs w:val="0"/>
                <w:color w:val="000000"/>
                <w:position w:val="0"/>
                <w:sz w:val="21"/>
                <w:szCs w:val="21"/>
                <w:vertAlign w:val="baseline"/>
                <w:lang w:val="pt-BR" w:eastAsia="en-US"/>
              </w:rPr>
            </w:pPr>
            <w:r>
              <w:rPr>
                <w:sz w:val="21"/>
                <w:szCs w:val="21"/>
              </w:rPr>
              <w:t>M²</w:t>
            </w:r>
          </w:p>
        </w:tc>
        <w:tc>
          <w:tcPr>
            <w:tcW w:w="3409" w:type="dxa"/>
            <w:tcBorders>
              <w:tl2br w:val="nil"/>
              <w:tr2bl w:val="nil"/>
            </w:tcBorders>
            <w:shd w:val="clear" w:color="auto" w:fill="auto"/>
            <w:noWrap w:val="0"/>
            <w:vAlign w:val="top"/>
          </w:tcPr>
          <w:p w14:paraId="52BAC95C">
            <w:pPr>
              <w:keepNext w:val="0"/>
              <w:keepLines w:val="0"/>
              <w:widowControl/>
              <w:suppressLineNumbers w:val="0"/>
              <w:spacing w:before="0" w:after="120" w:line="100" w:lineRule="atLeast"/>
              <w:ind w:left="0" w:right="0" w:firstLine="0"/>
              <w:jc w:val="both"/>
              <w:rPr>
                <w:sz w:val="21"/>
                <w:szCs w:val="21"/>
                <w:shd w:val="clear" w:color="auto" w:fill="auto"/>
              </w:rPr>
            </w:pPr>
            <w:r>
              <w:rPr>
                <w:rStyle w:val="49"/>
                <w:rFonts w:eastAsia="Times New Roman" w:cs="Calibri"/>
                <w:b/>
                <w:bCs/>
                <w:i w:val="0"/>
                <w:iCs w:val="0"/>
                <w:color w:val="000000"/>
                <w:position w:val="0"/>
                <w:sz w:val="21"/>
                <w:szCs w:val="21"/>
                <w:vertAlign w:val="baseline"/>
                <w:lang w:val="pt-BR" w:eastAsia="en-US"/>
              </w:rPr>
              <w:t>PINGADEIRAS COM ONDULADO/RUFO</w:t>
            </w:r>
            <w:r>
              <w:rPr>
                <w:rStyle w:val="49"/>
                <w:rFonts w:eastAsia="Times New Roman" w:cs="Calibri"/>
                <w:b w:val="0"/>
                <w:bCs w:val="0"/>
                <w:i w:val="0"/>
                <w:iCs w:val="0"/>
                <w:color w:val="000000"/>
                <w:position w:val="0"/>
                <w:sz w:val="21"/>
                <w:szCs w:val="21"/>
                <w:vertAlign w:val="baseline"/>
                <w:lang w:val="pt-BR" w:eastAsia="en-US"/>
              </w:rPr>
              <w:t xml:space="preserve"> fabricadas em chapa de 0,43 MM com utilização de selante e todo o material necessário para instalação.</w:t>
            </w:r>
          </w:p>
        </w:tc>
        <w:tc>
          <w:tcPr>
            <w:tcW w:w="791" w:type="dxa"/>
            <w:tcBorders>
              <w:tl2br w:val="nil"/>
              <w:tr2bl w:val="nil"/>
            </w:tcBorders>
            <w:shd w:val="clear" w:color="auto" w:fill="auto"/>
            <w:noWrap w:val="0"/>
            <w:vAlign w:val="top"/>
          </w:tcPr>
          <w:p w14:paraId="666AF86B">
            <w:pPr>
              <w:pStyle w:val="218"/>
              <w:spacing w:line="100" w:lineRule="atLeast"/>
              <w:jc w:val="center"/>
              <w:rPr>
                <w:sz w:val="21"/>
                <w:szCs w:val="21"/>
                <w:shd w:val="clear" w:color="auto" w:fill="auto"/>
              </w:rPr>
            </w:pPr>
          </w:p>
          <w:p w14:paraId="1F17DE24">
            <w:pPr>
              <w:pStyle w:val="218"/>
              <w:spacing w:line="100" w:lineRule="atLeast"/>
              <w:jc w:val="center"/>
              <w:rPr>
                <w:sz w:val="21"/>
                <w:szCs w:val="21"/>
              </w:rPr>
            </w:pPr>
            <w:r>
              <w:rPr>
                <w:sz w:val="21"/>
                <w:szCs w:val="21"/>
                <w:shd w:val="clear" w:color="auto" w:fill="auto"/>
              </w:rPr>
              <w:t>55 m²</w:t>
            </w:r>
          </w:p>
        </w:tc>
        <w:tc>
          <w:tcPr>
            <w:tcW w:w="1295" w:type="dxa"/>
            <w:tcBorders>
              <w:tl2br w:val="nil"/>
              <w:tr2bl w:val="nil"/>
            </w:tcBorders>
            <w:shd w:val="clear" w:color="auto" w:fill="auto"/>
            <w:noWrap w:val="0"/>
            <w:vAlign w:val="top"/>
          </w:tcPr>
          <w:p w14:paraId="2856A997">
            <w:pPr>
              <w:pStyle w:val="218"/>
              <w:ind w:left="0" w:right="0" w:firstLine="0"/>
              <w:jc w:val="center"/>
              <w:rPr>
                <w:sz w:val="21"/>
                <w:szCs w:val="21"/>
              </w:rPr>
            </w:pPr>
            <w:r>
              <w:rPr>
                <w:sz w:val="21"/>
                <w:szCs w:val="21"/>
              </w:rPr>
              <w:t>R$125,73</w:t>
            </w:r>
          </w:p>
        </w:tc>
        <w:tc>
          <w:tcPr>
            <w:tcW w:w="1255" w:type="dxa"/>
            <w:tcBorders>
              <w:tl2br w:val="nil"/>
              <w:tr2bl w:val="nil"/>
            </w:tcBorders>
            <w:shd w:val="clear" w:color="auto" w:fill="auto"/>
            <w:noWrap w:val="0"/>
            <w:vAlign w:val="top"/>
          </w:tcPr>
          <w:p w14:paraId="523BE361">
            <w:pPr>
              <w:pStyle w:val="218"/>
              <w:jc w:val="right"/>
              <w:rPr>
                <w:sz w:val="28"/>
                <w:szCs w:val="28"/>
              </w:rPr>
            </w:pPr>
            <w:r>
              <w:rPr>
                <w:sz w:val="21"/>
                <w:szCs w:val="21"/>
              </w:rPr>
              <w:t>R$ 6,915.15</w:t>
            </w:r>
          </w:p>
        </w:tc>
      </w:tr>
      <w:tr w14:paraId="3D9E2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627" w:type="dxa"/>
            <w:tcBorders>
              <w:tl2br w:val="nil"/>
              <w:tr2bl w:val="nil"/>
            </w:tcBorders>
            <w:shd w:val="clear" w:color="auto" w:fill="auto"/>
            <w:noWrap w:val="0"/>
            <w:vAlign w:val="top"/>
          </w:tcPr>
          <w:p w14:paraId="1DD15BC7">
            <w:pPr>
              <w:pStyle w:val="218"/>
              <w:spacing w:line="100" w:lineRule="atLeast"/>
              <w:jc w:val="center"/>
              <w:rPr>
                <w:sz w:val="21"/>
                <w:szCs w:val="21"/>
              </w:rPr>
            </w:pPr>
          </w:p>
          <w:p w14:paraId="23861BFA">
            <w:pPr>
              <w:pStyle w:val="218"/>
              <w:spacing w:line="100" w:lineRule="atLeast"/>
              <w:jc w:val="center"/>
              <w:rPr>
                <w:sz w:val="21"/>
                <w:szCs w:val="21"/>
              </w:rPr>
            </w:pPr>
            <w:r>
              <w:rPr>
                <w:sz w:val="21"/>
                <w:szCs w:val="21"/>
              </w:rPr>
              <w:t>06</w:t>
            </w:r>
          </w:p>
        </w:tc>
        <w:tc>
          <w:tcPr>
            <w:tcW w:w="668" w:type="dxa"/>
            <w:tcBorders>
              <w:tl2br w:val="nil"/>
              <w:tr2bl w:val="nil"/>
            </w:tcBorders>
            <w:shd w:val="clear" w:color="auto" w:fill="auto"/>
            <w:noWrap w:val="0"/>
            <w:vAlign w:val="top"/>
          </w:tcPr>
          <w:p w14:paraId="7A84FA65">
            <w:pPr>
              <w:pStyle w:val="218"/>
              <w:spacing w:line="100" w:lineRule="atLeast"/>
              <w:jc w:val="center"/>
              <w:rPr>
                <w:sz w:val="21"/>
                <w:szCs w:val="21"/>
              </w:rPr>
            </w:pPr>
          </w:p>
          <w:p w14:paraId="0D594B2E">
            <w:pPr>
              <w:pStyle w:val="218"/>
              <w:spacing w:line="100" w:lineRule="atLeast"/>
              <w:jc w:val="center"/>
              <w:rPr>
                <w:sz w:val="21"/>
                <w:szCs w:val="21"/>
              </w:rPr>
            </w:pPr>
            <w:r>
              <w:rPr>
                <w:sz w:val="21"/>
                <w:szCs w:val="21"/>
              </w:rPr>
              <w:t>1634</w:t>
            </w:r>
          </w:p>
        </w:tc>
        <w:tc>
          <w:tcPr>
            <w:tcW w:w="628" w:type="dxa"/>
            <w:tcBorders>
              <w:tl2br w:val="nil"/>
              <w:tr2bl w:val="nil"/>
            </w:tcBorders>
            <w:shd w:val="clear" w:color="auto" w:fill="auto"/>
            <w:noWrap w:val="0"/>
            <w:vAlign w:val="top"/>
          </w:tcPr>
          <w:p w14:paraId="22245F8D">
            <w:pPr>
              <w:spacing w:line="100" w:lineRule="atLeast"/>
              <w:jc w:val="center"/>
              <w:rPr>
                <w:sz w:val="21"/>
                <w:szCs w:val="21"/>
              </w:rPr>
            </w:pPr>
          </w:p>
          <w:p w14:paraId="2E7B0803">
            <w:pPr>
              <w:spacing w:line="100" w:lineRule="atLeast"/>
              <w:jc w:val="center"/>
              <w:rPr>
                <w:sz w:val="21"/>
                <w:szCs w:val="21"/>
              </w:rPr>
            </w:pPr>
            <w:r>
              <w:rPr>
                <w:sz w:val="21"/>
                <w:szCs w:val="21"/>
              </w:rPr>
              <w:t>428888-2</w:t>
            </w:r>
          </w:p>
        </w:tc>
        <w:tc>
          <w:tcPr>
            <w:tcW w:w="682" w:type="dxa"/>
            <w:tcBorders>
              <w:tl2br w:val="nil"/>
              <w:tr2bl w:val="nil"/>
            </w:tcBorders>
            <w:shd w:val="clear" w:color="auto" w:fill="auto"/>
            <w:noWrap w:val="0"/>
            <w:vAlign w:val="top"/>
          </w:tcPr>
          <w:p w14:paraId="3E5C3616">
            <w:pPr>
              <w:pStyle w:val="218"/>
              <w:spacing w:line="100" w:lineRule="atLeast"/>
              <w:jc w:val="center"/>
              <w:rPr>
                <w:sz w:val="21"/>
                <w:szCs w:val="21"/>
              </w:rPr>
            </w:pPr>
          </w:p>
          <w:p w14:paraId="393EE0F1">
            <w:pPr>
              <w:pStyle w:val="218"/>
              <w:spacing w:line="100" w:lineRule="atLeast"/>
              <w:jc w:val="center"/>
              <w:rPr>
                <w:rStyle w:val="49"/>
                <w:rFonts w:eastAsia="Times New Roman" w:cs="Calibri"/>
                <w:b/>
                <w:bCs/>
                <w:i w:val="0"/>
                <w:iCs w:val="0"/>
                <w:color w:val="000000"/>
                <w:position w:val="0"/>
                <w:sz w:val="21"/>
                <w:szCs w:val="21"/>
                <w:vertAlign w:val="baseline"/>
                <w:lang w:val="pt-BR" w:eastAsia="en-US"/>
              </w:rPr>
            </w:pPr>
            <w:r>
              <w:rPr>
                <w:sz w:val="21"/>
                <w:szCs w:val="21"/>
              </w:rPr>
              <w:t>M²</w:t>
            </w:r>
          </w:p>
        </w:tc>
        <w:tc>
          <w:tcPr>
            <w:tcW w:w="3409" w:type="dxa"/>
            <w:tcBorders>
              <w:tl2br w:val="nil"/>
              <w:tr2bl w:val="nil"/>
            </w:tcBorders>
            <w:shd w:val="clear" w:color="auto" w:fill="auto"/>
            <w:noWrap w:val="0"/>
            <w:vAlign w:val="top"/>
          </w:tcPr>
          <w:p w14:paraId="2899923F">
            <w:pPr>
              <w:keepNext w:val="0"/>
              <w:keepLines w:val="0"/>
              <w:widowControl/>
              <w:suppressLineNumbers w:val="0"/>
              <w:spacing w:before="0" w:after="120" w:line="100" w:lineRule="atLeast"/>
              <w:ind w:left="0" w:right="0" w:firstLine="0"/>
              <w:jc w:val="both"/>
              <w:rPr>
                <w:sz w:val="21"/>
                <w:szCs w:val="21"/>
                <w:shd w:val="clear" w:color="auto" w:fill="auto"/>
              </w:rPr>
            </w:pPr>
            <w:r>
              <w:rPr>
                <w:rStyle w:val="49"/>
                <w:rFonts w:eastAsia="Times New Roman" w:cs="Calibri"/>
                <w:b/>
                <w:bCs/>
                <w:i w:val="0"/>
                <w:iCs w:val="0"/>
                <w:color w:val="000000"/>
                <w:position w:val="0"/>
                <w:sz w:val="21"/>
                <w:szCs w:val="21"/>
                <w:vertAlign w:val="baseline"/>
                <w:lang w:val="pt-BR" w:eastAsia="en-US"/>
              </w:rPr>
              <w:t>MATERIAL PARA LAJE CHAPA LISA</w:t>
            </w:r>
            <w:r>
              <w:rPr>
                <w:rStyle w:val="49"/>
                <w:rFonts w:eastAsia="Times New Roman" w:cs="Calibri"/>
                <w:b w:val="0"/>
                <w:bCs w:val="0"/>
                <w:i w:val="0"/>
                <w:iCs w:val="0"/>
                <w:color w:val="000000"/>
                <w:position w:val="0"/>
                <w:sz w:val="21"/>
                <w:szCs w:val="21"/>
                <w:vertAlign w:val="baseline"/>
                <w:lang w:val="pt-BR" w:eastAsia="en-US"/>
              </w:rPr>
              <w:t xml:space="preserve"> fabricada em chapa de 0,43 MM  com utilização de selante e todo o material necessário para instalação.</w:t>
            </w:r>
          </w:p>
        </w:tc>
        <w:tc>
          <w:tcPr>
            <w:tcW w:w="791" w:type="dxa"/>
            <w:tcBorders>
              <w:tl2br w:val="nil"/>
              <w:tr2bl w:val="nil"/>
            </w:tcBorders>
            <w:shd w:val="clear" w:color="auto" w:fill="auto"/>
            <w:noWrap w:val="0"/>
            <w:vAlign w:val="top"/>
          </w:tcPr>
          <w:p w14:paraId="1719C48F">
            <w:pPr>
              <w:pStyle w:val="218"/>
              <w:spacing w:line="100" w:lineRule="atLeast"/>
              <w:jc w:val="center"/>
              <w:rPr>
                <w:sz w:val="21"/>
                <w:szCs w:val="21"/>
                <w:shd w:val="clear" w:color="auto" w:fill="auto"/>
              </w:rPr>
            </w:pPr>
          </w:p>
          <w:p w14:paraId="30DE1E21">
            <w:pPr>
              <w:pStyle w:val="218"/>
              <w:spacing w:line="100" w:lineRule="atLeast"/>
              <w:jc w:val="center"/>
              <w:rPr>
                <w:sz w:val="21"/>
                <w:szCs w:val="21"/>
              </w:rPr>
            </w:pPr>
            <w:r>
              <w:rPr>
                <w:sz w:val="21"/>
                <w:szCs w:val="21"/>
                <w:shd w:val="clear" w:color="auto" w:fill="auto"/>
              </w:rPr>
              <w:t>175 m²</w:t>
            </w:r>
          </w:p>
        </w:tc>
        <w:tc>
          <w:tcPr>
            <w:tcW w:w="1295" w:type="dxa"/>
            <w:tcBorders>
              <w:tl2br w:val="nil"/>
              <w:tr2bl w:val="nil"/>
            </w:tcBorders>
            <w:shd w:val="clear" w:color="auto" w:fill="auto"/>
            <w:noWrap w:val="0"/>
            <w:vAlign w:val="top"/>
          </w:tcPr>
          <w:p w14:paraId="1A95309E">
            <w:pPr>
              <w:pStyle w:val="218"/>
              <w:ind w:left="0" w:right="0" w:firstLine="0"/>
              <w:jc w:val="center"/>
              <w:rPr>
                <w:sz w:val="21"/>
                <w:szCs w:val="21"/>
              </w:rPr>
            </w:pPr>
            <w:r>
              <w:rPr>
                <w:sz w:val="21"/>
                <w:szCs w:val="21"/>
              </w:rPr>
              <w:t>R$116,31</w:t>
            </w:r>
          </w:p>
        </w:tc>
        <w:tc>
          <w:tcPr>
            <w:tcW w:w="1255" w:type="dxa"/>
            <w:tcBorders>
              <w:tl2br w:val="nil"/>
              <w:tr2bl w:val="nil"/>
            </w:tcBorders>
            <w:shd w:val="clear" w:color="auto" w:fill="auto"/>
            <w:noWrap w:val="0"/>
            <w:vAlign w:val="top"/>
          </w:tcPr>
          <w:p w14:paraId="13D29C63">
            <w:pPr>
              <w:pStyle w:val="218"/>
              <w:jc w:val="right"/>
              <w:rPr>
                <w:sz w:val="28"/>
                <w:szCs w:val="28"/>
              </w:rPr>
            </w:pPr>
            <w:r>
              <w:rPr>
                <w:sz w:val="21"/>
                <w:szCs w:val="21"/>
              </w:rPr>
              <w:t>R$ 20,354.25</w:t>
            </w:r>
          </w:p>
        </w:tc>
      </w:tr>
      <w:tr w14:paraId="24358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627" w:type="dxa"/>
            <w:tcBorders>
              <w:tl2br w:val="nil"/>
              <w:tr2bl w:val="nil"/>
            </w:tcBorders>
            <w:shd w:val="clear" w:color="auto" w:fill="auto"/>
            <w:noWrap w:val="0"/>
            <w:vAlign w:val="top"/>
          </w:tcPr>
          <w:p w14:paraId="05E81427">
            <w:pPr>
              <w:pStyle w:val="218"/>
              <w:spacing w:line="100" w:lineRule="atLeast"/>
              <w:jc w:val="center"/>
              <w:rPr>
                <w:sz w:val="21"/>
                <w:szCs w:val="21"/>
              </w:rPr>
            </w:pPr>
          </w:p>
          <w:p w14:paraId="10D8AB20">
            <w:pPr>
              <w:pStyle w:val="218"/>
              <w:spacing w:line="100" w:lineRule="atLeast"/>
              <w:jc w:val="center"/>
              <w:rPr>
                <w:sz w:val="21"/>
                <w:szCs w:val="21"/>
              </w:rPr>
            </w:pPr>
            <w:r>
              <w:rPr>
                <w:sz w:val="21"/>
                <w:szCs w:val="21"/>
              </w:rPr>
              <w:t>07</w:t>
            </w:r>
          </w:p>
        </w:tc>
        <w:tc>
          <w:tcPr>
            <w:tcW w:w="668" w:type="dxa"/>
            <w:tcBorders>
              <w:tl2br w:val="nil"/>
              <w:tr2bl w:val="nil"/>
            </w:tcBorders>
            <w:shd w:val="clear" w:color="auto" w:fill="auto"/>
            <w:noWrap w:val="0"/>
            <w:vAlign w:val="top"/>
          </w:tcPr>
          <w:p w14:paraId="076CD5EE">
            <w:pPr>
              <w:pStyle w:val="218"/>
              <w:spacing w:line="100" w:lineRule="atLeast"/>
              <w:jc w:val="center"/>
              <w:rPr>
                <w:sz w:val="21"/>
                <w:szCs w:val="21"/>
              </w:rPr>
            </w:pPr>
          </w:p>
          <w:p w14:paraId="2FE3E8D7">
            <w:pPr>
              <w:pStyle w:val="218"/>
              <w:spacing w:line="100" w:lineRule="atLeast"/>
              <w:jc w:val="center"/>
              <w:rPr>
                <w:sz w:val="21"/>
                <w:szCs w:val="21"/>
              </w:rPr>
            </w:pPr>
            <w:r>
              <w:rPr>
                <w:sz w:val="21"/>
                <w:szCs w:val="21"/>
              </w:rPr>
              <w:t>1635</w:t>
            </w:r>
          </w:p>
        </w:tc>
        <w:tc>
          <w:tcPr>
            <w:tcW w:w="628" w:type="dxa"/>
            <w:tcBorders>
              <w:tl2br w:val="nil"/>
              <w:tr2bl w:val="nil"/>
            </w:tcBorders>
            <w:shd w:val="clear" w:color="auto" w:fill="auto"/>
            <w:noWrap w:val="0"/>
            <w:vAlign w:val="top"/>
          </w:tcPr>
          <w:p w14:paraId="66E68E17">
            <w:pPr>
              <w:spacing w:line="100" w:lineRule="atLeast"/>
              <w:jc w:val="center"/>
              <w:rPr>
                <w:sz w:val="21"/>
                <w:szCs w:val="21"/>
              </w:rPr>
            </w:pPr>
          </w:p>
          <w:p w14:paraId="221F0C3B">
            <w:pPr>
              <w:spacing w:line="100" w:lineRule="atLeast"/>
              <w:jc w:val="center"/>
              <w:rPr>
                <w:sz w:val="21"/>
                <w:szCs w:val="21"/>
              </w:rPr>
            </w:pPr>
            <w:r>
              <w:rPr>
                <w:sz w:val="21"/>
                <w:szCs w:val="21"/>
              </w:rPr>
              <w:t>00032630</w:t>
            </w:r>
          </w:p>
        </w:tc>
        <w:tc>
          <w:tcPr>
            <w:tcW w:w="682" w:type="dxa"/>
            <w:tcBorders>
              <w:tl2br w:val="nil"/>
              <w:tr2bl w:val="nil"/>
            </w:tcBorders>
            <w:shd w:val="clear" w:color="auto" w:fill="auto"/>
            <w:noWrap w:val="0"/>
            <w:vAlign w:val="top"/>
          </w:tcPr>
          <w:p w14:paraId="1536134E">
            <w:pPr>
              <w:pStyle w:val="218"/>
              <w:spacing w:line="100" w:lineRule="atLeast"/>
              <w:jc w:val="center"/>
              <w:rPr>
                <w:sz w:val="21"/>
                <w:szCs w:val="21"/>
              </w:rPr>
            </w:pPr>
          </w:p>
          <w:p w14:paraId="2DE9CEFA">
            <w:pPr>
              <w:pStyle w:val="218"/>
              <w:spacing w:line="100" w:lineRule="atLeast"/>
              <w:jc w:val="center"/>
              <w:rPr>
                <w:b/>
                <w:bCs/>
                <w:sz w:val="21"/>
                <w:szCs w:val="21"/>
              </w:rPr>
            </w:pPr>
            <w:r>
              <w:rPr>
                <w:sz w:val="21"/>
                <w:szCs w:val="21"/>
              </w:rPr>
              <w:t>SERV</w:t>
            </w:r>
          </w:p>
        </w:tc>
        <w:tc>
          <w:tcPr>
            <w:tcW w:w="3409" w:type="dxa"/>
            <w:tcBorders>
              <w:tl2br w:val="nil"/>
              <w:tr2bl w:val="nil"/>
            </w:tcBorders>
            <w:shd w:val="clear" w:color="auto" w:fill="auto"/>
            <w:noWrap w:val="0"/>
            <w:vAlign w:val="top"/>
          </w:tcPr>
          <w:p w14:paraId="7DCF53AC">
            <w:pPr>
              <w:keepNext w:val="0"/>
              <w:keepLines w:val="0"/>
              <w:widowControl/>
              <w:suppressLineNumbers w:val="0"/>
              <w:spacing w:before="0" w:after="120" w:line="100" w:lineRule="atLeast"/>
              <w:ind w:left="0" w:right="0" w:firstLine="0"/>
              <w:jc w:val="both"/>
              <w:rPr>
                <w:sz w:val="21"/>
                <w:szCs w:val="21"/>
              </w:rPr>
            </w:pPr>
            <w:r>
              <w:rPr>
                <w:b/>
                <w:bCs/>
                <w:sz w:val="21"/>
                <w:szCs w:val="21"/>
              </w:rPr>
              <w:t>SERVIÇO DE TROCA DAS CALHAS, RUFOS, PINGADEIRAS E CHAPAS</w:t>
            </w:r>
            <w:r>
              <w:rPr>
                <w:sz w:val="21"/>
                <w:szCs w:val="21"/>
              </w:rPr>
              <w:t xml:space="preserve"> contemplando toda a remoção dos materiais antigos e a instalação dos novos, devendo a licitante ganhadora realizar os cálculos de escoamento e queda de água a fim de definir as medidas de diâmetro e profundidade para cada calha conforme o local onde deverá ser instalada.</w:t>
            </w:r>
          </w:p>
        </w:tc>
        <w:tc>
          <w:tcPr>
            <w:tcW w:w="791" w:type="dxa"/>
            <w:tcBorders>
              <w:tl2br w:val="nil"/>
              <w:tr2bl w:val="nil"/>
            </w:tcBorders>
            <w:shd w:val="clear" w:color="auto" w:fill="auto"/>
            <w:noWrap w:val="0"/>
            <w:vAlign w:val="top"/>
          </w:tcPr>
          <w:p w14:paraId="36865895">
            <w:pPr>
              <w:pStyle w:val="218"/>
              <w:spacing w:line="100" w:lineRule="atLeast"/>
              <w:jc w:val="center"/>
              <w:rPr>
                <w:sz w:val="21"/>
                <w:szCs w:val="21"/>
              </w:rPr>
            </w:pPr>
          </w:p>
          <w:p w14:paraId="4359CBCA">
            <w:pPr>
              <w:pStyle w:val="218"/>
              <w:spacing w:line="100" w:lineRule="atLeast"/>
              <w:jc w:val="center"/>
              <w:rPr>
                <w:sz w:val="21"/>
                <w:szCs w:val="21"/>
              </w:rPr>
            </w:pPr>
            <w:r>
              <w:rPr>
                <w:sz w:val="21"/>
                <w:szCs w:val="21"/>
              </w:rPr>
              <w:t>01</w:t>
            </w:r>
          </w:p>
        </w:tc>
        <w:tc>
          <w:tcPr>
            <w:tcW w:w="1295" w:type="dxa"/>
            <w:tcBorders>
              <w:tl2br w:val="nil"/>
              <w:tr2bl w:val="nil"/>
            </w:tcBorders>
            <w:shd w:val="clear" w:color="auto" w:fill="auto"/>
            <w:noWrap w:val="0"/>
            <w:vAlign w:val="top"/>
          </w:tcPr>
          <w:p w14:paraId="1DF2CFF4">
            <w:pPr>
              <w:pStyle w:val="218"/>
              <w:jc w:val="center"/>
              <w:rPr>
                <w:sz w:val="21"/>
                <w:szCs w:val="21"/>
              </w:rPr>
            </w:pPr>
            <w:r>
              <w:rPr>
                <w:sz w:val="21"/>
                <w:szCs w:val="21"/>
              </w:rPr>
              <w:t>R$35.692,16</w:t>
            </w:r>
          </w:p>
        </w:tc>
        <w:tc>
          <w:tcPr>
            <w:tcW w:w="1255" w:type="dxa"/>
            <w:tcBorders>
              <w:tl2br w:val="nil"/>
              <w:tr2bl w:val="nil"/>
            </w:tcBorders>
            <w:shd w:val="clear" w:color="auto" w:fill="auto"/>
            <w:noWrap w:val="0"/>
            <w:vAlign w:val="top"/>
          </w:tcPr>
          <w:p w14:paraId="7953B339">
            <w:pPr>
              <w:pStyle w:val="218"/>
              <w:jc w:val="right"/>
              <w:rPr>
                <w:sz w:val="28"/>
                <w:szCs w:val="28"/>
              </w:rPr>
            </w:pPr>
            <w:r>
              <w:rPr>
                <w:sz w:val="21"/>
                <w:szCs w:val="21"/>
              </w:rPr>
              <w:t>R$ 35,692.16</w:t>
            </w:r>
          </w:p>
        </w:tc>
      </w:tr>
      <w:tr w14:paraId="4F16B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605" w:type="dxa"/>
            <w:gridSpan w:val="4"/>
            <w:tcBorders>
              <w:tl2br w:val="nil"/>
              <w:tr2bl w:val="nil"/>
            </w:tcBorders>
            <w:shd w:val="clear" w:color="auto" w:fill="auto"/>
            <w:noWrap w:val="0"/>
            <w:vAlign w:val="top"/>
          </w:tcPr>
          <w:p w14:paraId="4FBBD7F1">
            <w:pPr>
              <w:pStyle w:val="218"/>
              <w:spacing w:line="100" w:lineRule="atLeast"/>
              <w:jc w:val="center"/>
              <w:rPr>
                <w:sz w:val="21"/>
                <w:szCs w:val="21"/>
              </w:rPr>
            </w:pPr>
            <w:r>
              <w:rPr>
                <w:b/>
                <w:bCs/>
                <w:sz w:val="21"/>
                <w:szCs w:val="21"/>
              </w:rPr>
              <w:t>VALOR TOTAL DO LOTE</w:t>
            </w:r>
          </w:p>
        </w:tc>
        <w:tc>
          <w:tcPr>
            <w:tcW w:w="6750" w:type="dxa"/>
            <w:gridSpan w:val="4"/>
            <w:tcBorders>
              <w:tl2br w:val="nil"/>
              <w:tr2bl w:val="nil"/>
            </w:tcBorders>
            <w:shd w:val="clear" w:color="auto" w:fill="auto"/>
            <w:noWrap w:val="0"/>
            <w:vAlign w:val="top"/>
          </w:tcPr>
          <w:p w14:paraId="6B06803D">
            <w:pPr>
              <w:keepNext w:val="0"/>
              <w:keepLines w:val="0"/>
              <w:widowControl/>
              <w:suppressLineNumbers w:val="0"/>
              <w:spacing w:before="0" w:after="120" w:line="100" w:lineRule="atLeast"/>
              <w:ind w:left="0" w:right="0" w:firstLine="0"/>
              <w:jc w:val="center"/>
              <w:rPr>
                <w:sz w:val="24"/>
                <w:szCs w:val="24"/>
              </w:rPr>
            </w:pPr>
            <w:r>
              <w:rPr>
                <w:sz w:val="21"/>
                <w:szCs w:val="21"/>
              </w:rPr>
              <w:t xml:space="preserve"> R$ 134.462,11</w:t>
            </w:r>
          </w:p>
        </w:tc>
      </w:tr>
    </w:tbl>
    <w:p w14:paraId="4DEAA045">
      <w:pPr>
        <w:spacing w:line="100" w:lineRule="atLeast"/>
        <w:jc w:val="both"/>
        <w:rPr>
          <w:rFonts w:eastAsia="Times New Roman"/>
          <w:b/>
          <w:sz w:val="22"/>
          <w:szCs w:val="22"/>
          <w:lang w:eastAsia="en-US"/>
        </w:rPr>
      </w:pPr>
    </w:p>
    <w:p w14:paraId="49770AF5">
      <w:pPr>
        <w:spacing w:line="100" w:lineRule="atLeast"/>
        <w:jc w:val="both"/>
        <w:rPr>
          <w:rFonts w:eastAsia="Times New Roman"/>
          <w:b/>
          <w:sz w:val="22"/>
          <w:szCs w:val="22"/>
          <w:lang w:eastAsia="en-US"/>
        </w:rPr>
      </w:pPr>
    </w:p>
    <w:p w14:paraId="0406A0F2">
      <w:pPr>
        <w:spacing w:line="100" w:lineRule="atLeast"/>
        <w:jc w:val="both"/>
        <w:rPr>
          <w:rFonts w:eastAsia="Times New Roman"/>
          <w:b/>
          <w:sz w:val="22"/>
          <w:szCs w:val="22"/>
          <w:lang w:eastAsia="en-US"/>
        </w:rPr>
      </w:pPr>
    </w:p>
    <w:p w14:paraId="37AEB9A0">
      <w:pPr>
        <w:numPr>
          <w:ilvl w:val="0"/>
          <w:numId w:val="12"/>
        </w:numPr>
        <w:tabs>
          <w:tab w:val="left" w:pos="284"/>
        </w:tabs>
        <w:spacing w:line="100" w:lineRule="atLeast"/>
        <w:ind w:left="0" w:right="0" w:firstLine="27"/>
        <w:jc w:val="both"/>
        <w:rPr>
          <w:rStyle w:val="49"/>
          <w:rFonts w:eastAsia="Times New Roman"/>
          <w:sz w:val="22"/>
          <w:szCs w:val="22"/>
          <w:lang w:eastAsia="en-US"/>
        </w:rPr>
      </w:pPr>
      <w:r>
        <w:rPr>
          <w:rFonts w:eastAsia="Times New Roman"/>
          <w:b/>
          <w:sz w:val="22"/>
          <w:szCs w:val="22"/>
          <w:lang w:eastAsia="en-US"/>
        </w:rPr>
        <w:t>Do valor estimado:</w:t>
      </w:r>
    </w:p>
    <w:p w14:paraId="68279B8D">
      <w:pPr>
        <w:tabs>
          <w:tab w:val="left" w:pos="426"/>
        </w:tabs>
        <w:spacing w:line="100" w:lineRule="atLeast"/>
        <w:ind w:left="0" w:right="0" w:firstLine="0"/>
        <w:jc w:val="both"/>
        <w:rPr>
          <w:rFonts w:eastAsia="Times New Roman"/>
          <w:sz w:val="22"/>
          <w:szCs w:val="22"/>
          <w:lang w:eastAsia="en-US"/>
        </w:rPr>
      </w:pPr>
      <w:r>
        <w:rPr>
          <w:rStyle w:val="49"/>
          <w:rFonts w:eastAsia="Times New Roman"/>
          <w:sz w:val="22"/>
          <w:szCs w:val="22"/>
          <w:lang w:eastAsia="en-US"/>
        </w:rPr>
        <w:t>O valor total estimado do item a ser contratado será de</w:t>
      </w:r>
      <w:r>
        <w:rPr>
          <w:rStyle w:val="49"/>
          <w:rFonts w:eastAsia="Times New Roman"/>
          <w:sz w:val="22"/>
          <w:szCs w:val="22"/>
          <w:shd w:val="clear" w:color="auto" w:fill="auto"/>
          <w:lang w:eastAsia="en-US"/>
        </w:rPr>
        <w:t xml:space="preserve"> </w:t>
      </w:r>
      <w:r>
        <w:rPr>
          <w:rStyle w:val="49"/>
          <w:rFonts w:eastAsia="Times New Roman"/>
          <w:b/>
          <w:bCs/>
          <w:sz w:val="22"/>
          <w:szCs w:val="22"/>
          <w:shd w:val="clear" w:color="auto" w:fill="auto"/>
          <w:lang w:eastAsia="en-US"/>
        </w:rPr>
        <w:t>R$ 634.363,93 (seiscentos e trinta e quatro mil e trezentos e sessenta e três reais e noventa e três centavos).</w:t>
      </w:r>
    </w:p>
    <w:p w14:paraId="2153E438">
      <w:pPr>
        <w:tabs>
          <w:tab w:val="left" w:pos="284"/>
        </w:tabs>
        <w:spacing w:line="100" w:lineRule="atLeast"/>
        <w:ind w:left="0" w:right="0" w:firstLine="0"/>
        <w:jc w:val="both"/>
        <w:rPr>
          <w:sz w:val="22"/>
          <w:szCs w:val="22"/>
        </w:rPr>
      </w:pPr>
      <w:r>
        <w:rPr>
          <w:rStyle w:val="49"/>
          <w:rFonts w:eastAsia="Times New Roman"/>
          <w:b/>
          <w:bCs/>
          <w:sz w:val="22"/>
          <w:szCs w:val="22"/>
          <w:lang w:eastAsia="en-US"/>
        </w:rPr>
        <w:t>3. Justificativa Técnica para a Aquisição:</w:t>
      </w:r>
    </w:p>
    <w:p w14:paraId="66CCACE5">
      <w:pPr>
        <w:pStyle w:val="218"/>
        <w:spacing w:line="100" w:lineRule="atLeast"/>
        <w:jc w:val="both"/>
        <w:rPr>
          <w:sz w:val="22"/>
          <w:szCs w:val="22"/>
        </w:rPr>
      </w:pPr>
      <w:r>
        <w:rPr>
          <w:b/>
          <w:bCs/>
          <w:sz w:val="22"/>
          <w:szCs w:val="22"/>
        </w:rPr>
        <w:t>3.1.</w:t>
      </w:r>
      <w:r>
        <w:rPr>
          <w:sz w:val="22"/>
          <w:szCs w:val="22"/>
        </w:rPr>
        <w:t xml:space="preserve"> A Câmara Municipal de Primavera do Leste vem desempenhando um papel fundamental na administração e desenvolvimento do município, sendo um espaço onde se realizam importantes deliberações e decisões que afetam diretamente a vida dos cidadãos. A infraestrutura da Câmara é, portanto, vital para garantir um ambiente seguro, funcional e apropriado para o exercício das atividades legislativas e administrativas. Diante disso, propõe-se a substituição integral das telhas, calhas, rufos e pingadeiras. </w:t>
      </w:r>
    </w:p>
    <w:p w14:paraId="3EAE2CE7">
      <w:pPr>
        <w:pStyle w:val="218"/>
        <w:spacing w:line="100" w:lineRule="atLeast"/>
        <w:jc w:val="both"/>
        <w:rPr>
          <w:rStyle w:val="49"/>
          <w:rFonts w:eastAsia="Times New Roman"/>
          <w:color w:val="000000"/>
          <w:sz w:val="22"/>
          <w:szCs w:val="22"/>
          <w:lang w:eastAsia="en-US"/>
        </w:rPr>
      </w:pPr>
      <w:r>
        <w:rPr>
          <w:b/>
          <w:bCs/>
          <w:sz w:val="22"/>
          <w:szCs w:val="22"/>
        </w:rPr>
        <w:t>3.2.</w:t>
      </w:r>
      <w:r>
        <w:rPr>
          <w:sz w:val="22"/>
          <w:szCs w:val="22"/>
        </w:rPr>
        <w:t xml:space="preserve"> Com o passar do tempo se tornou evidente que as telhas, calhas, rufos e pingadeiras existentes têm apresentado sinais evidentes de desgaste e deterioração. Isso pode ser resultado da exposição constante às intempéries, como sol, chuva, ventos e variações de temperatura, resultando em infiltrações de água durante períodos de chuva. Essas infiltrações vem causando danos significativos à estrutura interna do edifício, comprometendo tanto a integridade física quanto a segurança dos ocupantes. A substituição das telhas e calhas atuará como uma barreira eficaz contra a entrada de água, prevenindo problemas de umidade, mofo e demais danos estruturais. </w:t>
      </w:r>
    </w:p>
    <w:p w14:paraId="099F1631">
      <w:pPr>
        <w:pStyle w:val="218"/>
        <w:spacing w:line="100" w:lineRule="atLeast"/>
        <w:jc w:val="both"/>
        <w:rPr>
          <w:rStyle w:val="49"/>
          <w:rFonts w:eastAsia="Times New Roman"/>
          <w:color w:val="000000"/>
          <w:sz w:val="22"/>
          <w:szCs w:val="22"/>
          <w:lang w:eastAsia="en-US"/>
        </w:rPr>
      </w:pPr>
      <w:r>
        <w:rPr>
          <w:rStyle w:val="49"/>
          <w:rFonts w:eastAsia="Times New Roman"/>
          <w:b/>
          <w:bCs/>
          <w:color w:val="000000"/>
          <w:sz w:val="22"/>
          <w:szCs w:val="22"/>
          <w:lang w:eastAsia="en-US"/>
        </w:rPr>
        <w:t>3.3.</w:t>
      </w:r>
      <w:r>
        <w:rPr>
          <w:rStyle w:val="49"/>
          <w:rFonts w:eastAsia="Times New Roman"/>
          <w:color w:val="000000"/>
          <w:sz w:val="22"/>
          <w:szCs w:val="22"/>
          <w:lang w:eastAsia="en-US"/>
        </w:rPr>
        <w:t xml:space="preserve"> A infiltração constante de água vem acelerando o processo de degradação dos materiais de construção, como concreto, madeira, metais e principalmente o forro de gesso localizado na recepção central e entrada do estacionamento. Levando à corrosão, apodrecimento e comprometimento da estabilidade da obra em geral. A substituição das telhas e calhas protegerá esses materiais, prolongando a vida útil do telhado e reduzindo a necessidade de reparos frequentes. </w:t>
      </w:r>
    </w:p>
    <w:p w14:paraId="69677496">
      <w:pPr>
        <w:pStyle w:val="218"/>
        <w:spacing w:line="100" w:lineRule="atLeast"/>
        <w:jc w:val="both"/>
        <w:rPr>
          <w:sz w:val="22"/>
          <w:szCs w:val="22"/>
        </w:rPr>
      </w:pPr>
      <w:r>
        <w:rPr>
          <w:rStyle w:val="49"/>
          <w:rFonts w:eastAsia="Times New Roman"/>
          <w:b/>
          <w:bCs/>
          <w:color w:val="000000"/>
          <w:sz w:val="22"/>
          <w:szCs w:val="22"/>
          <w:lang w:eastAsia="en-US"/>
        </w:rPr>
        <w:t>3.4.</w:t>
      </w:r>
      <w:r>
        <w:rPr>
          <w:rStyle w:val="49"/>
          <w:rFonts w:eastAsia="Times New Roman"/>
          <w:color w:val="000000"/>
          <w:sz w:val="22"/>
          <w:szCs w:val="22"/>
          <w:lang w:eastAsia="en-US"/>
        </w:rPr>
        <w:t xml:space="preserve"> A Câmara Municipal é um patrimônio público, cuja preservação é essencial, manter a estrutura em boas condições é fundamental para a valorização e a longevidade do edifício. Neste sentido, é evidente a necessidade e a urgência da troca de todas as telhas, calhas, rufos e pingadeiras da Câmara Municipal de Primavera do Leste. Este investimento é crucial para assegurar a segurança, funcionalidade e preservação do edifício, bem como para garantir um ambiente adequado e confortável para o exercício das atividades legislativas e administrativas.</w:t>
      </w:r>
    </w:p>
    <w:p w14:paraId="157EA23B">
      <w:pPr>
        <w:pStyle w:val="218"/>
        <w:spacing w:line="100" w:lineRule="atLeast"/>
        <w:jc w:val="both"/>
        <w:rPr>
          <w:sz w:val="22"/>
          <w:szCs w:val="22"/>
        </w:rPr>
      </w:pPr>
    </w:p>
    <w:p w14:paraId="3D950AE0">
      <w:pPr>
        <w:numPr>
          <w:ilvl w:val="0"/>
          <w:numId w:val="0"/>
        </w:numPr>
        <w:tabs>
          <w:tab w:val="left" w:pos="284"/>
        </w:tabs>
        <w:spacing w:line="100" w:lineRule="atLeast"/>
        <w:ind w:left="0" w:right="0" w:firstLine="0"/>
        <w:jc w:val="both"/>
        <w:rPr>
          <w:rStyle w:val="49"/>
          <w:rFonts w:eastAsia="Times New Roman"/>
          <w:sz w:val="22"/>
          <w:szCs w:val="22"/>
          <w:lang w:eastAsia="en-US"/>
        </w:rPr>
      </w:pPr>
      <w:r>
        <w:rPr>
          <w:rFonts w:eastAsia="Times New Roman"/>
          <w:b/>
          <w:sz w:val="22"/>
          <w:szCs w:val="22"/>
          <w:lang w:eastAsia="en-US"/>
        </w:rPr>
        <w:t>4. Da execução:</w:t>
      </w:r>
    </w:p>
    <w:p w14:paraId="2E0033D3">
      <w:pPr>
        <w:numPr>
          <w:ilvl w:val="0"/>
          <w:numId w:val="0"/>
        </w:numPr>
        <w:tabs>
          <w:tab w:val="left" w:pos="426"/>
        </w:tabs>
        <w:spacing w:line="100" w:lineRule="atLeast"/>
        <w:ind w:left="0" w:right="0" w:firstLine="0"/>
        <w:jc w:val="both"/>
        <w:rPr>
          <w:rFonts w:eastAsia="Times New Roman"/>
          <w:sz w:val="22"/>
          <w:szCs w:val="22"/>
          <w:lang w:eastAsia="en-US"/>
        </w:rPr>
      </w:pPr>
      <w:r>
        <w:rPr>
          <w:rStyle w:val="49"/>
          <w:rFonts w:eastAsia="Times New Roman"/>
          <w:b/>
          <w:bCs/>
          <w:sz w:val="22"/>
          <w:szCs w:val="22"/>
          <w:lang w:eastAsia="en-US"/>
        </w:rPr>
        <w:t xml:space="preserve">4.1. </w:t>
      </w:r>
      <w:r>
        <w:rPr>
          <w:rStyle w:val="49"/>
          <w:rFonts w:eastAsia="Times New Roman"/>
          <w:sz w:val="22"/>
          <w:szCs w:val="22"/>
          <w:lang w:eastAsia="en-US"/>
        </w:rPr>
        <w:t>A empresa contratada deverá fornecer os materiais em conformidade com as solicitações, assim como promover a instalação com todos os materiais necessários para tal, nos locais e horários indicados por servidor responsável da Câmara Municipal de Primavera do Leste – MT.</w:t>
      </w:r>
    </w:p>
    <w:p w14:paraId="7D462968">
      <w:pPr>
        <w:tabs>
          <w:tab w:val="left" w:pos="284"/>
        </w:tabs>
        <w:spacing w:line="100" w:lineRule="atLeast"/>
        <w:ind w:left="0" w:right="0" w:firstLine="0"/>
        <w:jc w:val="both"/>
        <w:rPr>
          <w:rStyle w:val="49"/>
          <w:rFonts w:eastAsia="Times New Roman"/>
          <w:sz w:val="22"/>
          <w:szCs w:val="22"/>
          <w:lang w:eastAsia="en-US"/>
        </w:rPr>
      </w:pPr>
      <w:r>
        <w:rPr>
          <w:rFonts w:eastAsia="Times New Roman"/>
          <w:b/>
          <w:sz w:val="22"/>
          <w:szCs w:val="22"/>
          <w:lang w:eastAsia="en-US"/>
        </w:rPr>
        <w:t>5. Do prazo e condições de entrega do objeto licitado</w:t>
      </w:r>
    </w:p>
    <w:p w14:paraId="3DE6A864">
      <w:pPr>
        <w:numPr>
          <w:ilvl w:val="0"/>
          <w:numId w:val="0"/>
        </w:numPr>
        <w:tabs>
          <w:tab w:val="left" w:pos="426"/>
        </w:tabs>
        <w:spacing w:line="100" w:lineRule="atLeast"/>
        <w:ind w:left="0" w:right="0" w:firstLine="0"/>
        <w:jc w:val="both"/>
        <w:rPr>
          <w:rStyle w:val="49"/>
          <w:rFonts w:eastAsia="Times New Roman"/>
          <w:sz w:val="22"/>
          <w:szCs w:val="22"/>
          <w:lang w:eastAsia="en-US"/>
        </w:rPr>
      </w:pPr>
      <w:r>
        <w:rPr>
          <w:rStyle w:val="49"/>
          <w:rFonts w:eastAsia="Times New Roman"/>
          <w:b/>
          <w:bCs/>
          <w:sz w:val="22"/>
          <w:szCs w:val="22"/>
          <w:lang w:eastAsia="en-US"/>
        </w:rPr>
        <w:t>5.1</w:t>
      </w:r>
      <w:r>
        <w:rPr>
          <w:rStyle w:val="49"/>
          <w:rFonts w:eastAsia="Times New Roman"/>
          <w:sz w:val="22"/>
          <w:szCs w:val="22"/>
          <w:lang w:eastAsia="en-US"/>
        </w:rPr>
        <w:t>. O prazo para entrega e instalação das estruturas deve ser de até 60 (sessenta) dias, a partir da solicitação da Câmara Municipal de Primavera do Leste Estado de Mato Grosso, podendo este prazo ser dobrado a critério da contratante, e devendo ser entregue e instalado na Câmara Municipal de Primavera do Leste – AV. Primavera n. 300 Bairro Primavera II, CEP. 78.850-000 – Estado de Mato Grosso, observando-se o horário de expediente, das 07h00minàs 13h00min, de segunda a sexta-feira.</w:t>
      </w:r>
    </w:p>
    <w:p w14:paraId="66BE4A0F">
      <w:pPr>
        <w:numPr>
          <w:ilvl w:val="0"/>
          <w:numId w:val="0"/>
        </w:numPr>
        <w:tabs>
          <w:tab w:val="left" w:pos="426"/>
        </w:tabs>
        <w:spacing w:line="100" w:lineRule="atLeast"/>
        <w:ind w:left="0" w:right="0" w:firstLine="0"/>
        <w:jc w:val="both"/>
        <w:rPr>
          <w:rStyle w:val="49"/>
          <w:rFonts w:eastAsia="Times New Roman"/>
          <w:sz w:val="22"/>
          <w:szCs w:val="22"/>
          <w:lang w:eastAsia="en-US"/>
        </w:rPr>
      </w:pPr>
      <w:r>
        <w:rPr>
          <w:rStyle w:val="49"/>
          <w:rFonts w:eastAsia="Times New Roman"/>
          <w:b/>
          <w:bCs/>
          <w:sz w:val="22"/>
          <w:szCs w:val="22"/>
          <w:lang w:eastAsia="en-US"/>
        </w:rPr>
        <w:t>5.2.</w:t>
      </w:r>
      <w:r>
        <w:rPr>
          <w:rStyle w:val="49"/>
          <w:rFonts w:eastAsia="Times New Roman"/>
          <w:sz w:val="22"/>
          <w:szCs w:val="22"/>
          <w:lang w:eastAsia="en-US"/>
        </w:rPr>
        <w:t xml:space="preserve"> Todas as despesas com o fornecimento e instalação dos materiais correrão por conta da contratada;</w:t>
      </w:r>
    </w:p>
    <w:p w14:paraId="58AE029F">
      <w:pPr>
        <w:numPr>
          <w:ilvl w:val="0"/>
          <w:numId w:val="0"/>
        </w:numPr>
        <w:tabs>
          <w:tab w:val="left" w:pos="426"/>
        </w:tabs>
        <w:spacing w:line="100" w:lineRule="atLeast"/>
        <w:ind w:left="0" w:right="0" w:firstLine="0"/>
        <w:jc w:val="both"/>
        <w:rPr>
          <w:rStyle w:val="49"/>
          <w:rFonts w:eastAsia="Times New Roman"/>
          <w:sz w:val="22"/>
          <w:szCs w:val="22"/>
          <w:lang w:eastAsia="en-US"/>
        </w:rPr>
      </w:pPr>
      <w:r>
        <w:rPr>
          <w:rStyle w:val="49"/>
          <w:rFonts w:eastAsia="Times New Roman"/>
          <w:sz w:val="22"/>
          <w:szCs w:val="22"/>
          <w:lang w:eastAsia="en-US"/>
        </w:rPr>
        <w:t>5.3. Não acarretará quaisquer ônus, encargos ou responsabilidades para a Câmara Municipal de Primavera do Leste, as despesas com funcionários da licitante vencedora, no fornecimento e instalação ora contratado;</w:t>
      </w:r>
    </w:p>
    <w:p w14:paraId="4A606288">
      <w:pPr>
        <w:numPr>
          <w:ilvl w:val="0"/>
          <w:numId w:val="0"/>
        </w:numPr>
        <w:tabs>
          <w:tab w:val="left" w:pos="426"/>
        </w:tabs>
        <w:spacing w:line="100" w:lineRule="atLeast"/>
        <w:ind w:left="0" w:right="0" w:firstLine="0"/>
        <w:jc w:val="both"/>
        <w:rPr>
          <w:sz w:val="22"/>
          <w:szCs w:val="22"/>
        </w:rPr>
      </w:pPr>
      <w:r>
        <w:rPr>
          <w:rStyle w:val="49"/>
          <w:rFonts w:eastAsia="Times New Roman"/>
          <w:sz w:val="22"/>
          <w:szCs w:val="22"/>
          <w:lang w:eastAsia="en-US"/>
        </w:rPr>
        <w:t>5.4. A vencedora do certame deverá garantir a qualidade da instalação ora licitada, respondendo, na forma da lei, por quaisquer danos decorrentes da má execução deste instrumento;</w:t>
      </w:r>
    </w:p>
    <w:p w14:paraId="2DFDCC64">
      <w:pPr>
        <w:numPr>
          <w:ilvl w:val="0"/>
          <w:numId w:val="0"/>
        </w:numPr>
        <w:tabs>
          <w:tab w:val="left" w:pos="426"/>
        </w:tabs>
        <w:spacing w:line="100" w:lineRule="atLeast"/>
        <w:ind w:left="0" w:right="0" w:firstLine="0"/>
        <w:jc w:val="both"/>
        <w:rPr>
          <w:rStyle w:val="49"/>
          <w:rFonts w:eastAsia="Times New Roman"/>
          <w:b w:val="0"/>
          <w:bCs w:val="0"/>
          <w:sz w:val="22"/>
          <w:szCs w:val="22"/>
          <w:lang w:eastAsia="en-US"/>
        </w:rPr>
      </w:pPr>
      <w:r>
        <w:rPr>
          <w:rStyle w:val="49"/>
          <w:rFonts w:eastAsia="Times New Roman"/>
          <w:b/>
          <w:sz w:val="22"/>
          <w:szCs w:val="22"/>
          <w:lang w:eastAsia="en-US"/>
        </w:rPr>
        <w:t>6. Público-alvo:</w:t>
      </w:r>
    </w:p>
    <w:p w14:paraId="3E59F078">
      <w:pPr>
        <w:numPr>
          <w:ilvl w:val="0"/>
          <w:numId w:val="0"/>
        </w:numPr>
        <w:tabs>
          <w:tab w:val="left" w:pos="426"/>
        </w:tabs>
        <w:spacing w:line="100" w:lineRule="atLeast"/>
        <w:ind w:left="0" w:right="0" w:firstLine="0"/>
        <w:jc w:val="both"/>
        <w:rPr>
          <w:sz w:val="22"/>
          <w:szCs w:val="22"/>
        </w:rPr>
      </w:pPr>
      <w:r>
        <w:rPr>
          <w:rStyle w:val="49"/>
          <w:rFonts w:eastAsia="Times New Roman"/>
          <w:b w:val="0"/>
          <w:bCs w:val="0"/>
          <w:sz w:val="22"/>
          <w:szCs w:val="22"/>
          <w:lang w:eastAsia="en-US"/>
        </w:rPr>
        <w:t>6.1.</w:t>
      </w:r>
      <w:r>
        <w:rPr>
          <w:sz w:val="22"/>
          <w:szCs w:val="22"/>
        </w:rPr>
        <w:t xml:space="preserve"> </w:t>
      </w:r>
      <w:r>
        <w:rPr>
          <w:rStyle w:val="49"/>
          <w:rFonts w:eastAsia="Times New Roman"/>
          <w:sz w:val="22"/>
          <w:szCs w:val="22"/>
          <w:lang w:eastAsia="en-US"/>
        </w:rPr>
        <w:t>Os Parlamentares e servidores da Câmara Municipal de Primavera do Leste – MT, assim como demais munícipes.</w:t>
      </w:r>
    </w:p>
    <w:p w14:paraId="1885538F">
      <w:pPr>
        <w:numPr>
          <w:ilvl w:val="0"/>
          <w:numId w:val="0"/>
        </w:numPr>
        <w:tabs>
          <w:tab w:val="left" w:pos="426"/>
        </w:tabs>
        <w:spacing w:line="100" w:lineRule="atLeast"/>
        <w:ind w:left="0" w:right="0" w:firstLine="0"/>
        <w:jc w:val="both"/>
        <w:rPr>
          <w:rFonts w:eastAsia="Times New Roman"/>
          <w:sz w:val="22"/>
          <w:szCs w:val="22"/>
          <w:lang w:eastAsia="en-US"/>
        </w:rPr>
      </w:pPr>
      <w:r>
        <w:rPr>
          <w:rStyle w:val="49"/>
          <w:rFonts w:eastAsia="Times New Roman"/>
          <w:b/>
          <w:sz w:val="22"/>
          <w:szCs w:val="22"/>
          <w:lang w:eastAsia="en-US"/>
        </w:rPr>
        <w:t>7. Das Obrigações da Contratada:</w:t>
      </w:r>
    </w:p>
    <w:p w14:paraId="257496F7">
      <w:pPr>
        <w:numPr>
          <w:ilvl w:val="0"/>
          <w:numId w:val="0"/>
        </w:numPr>
        <w:tabs>
          <w:tab w:val="left" w:pos="426"/>
        </w:tabs>
        <w:spacing w:line="100" w:lineRule="atLeast"/>
        <w:ind w:left="0" w:right="0" w:firstLine="0"/>
        <w:jc w:val="both"/>
        <w:rPr>
          <w:rStyle w:val="49"/>
          <w:rFonts w:eastAsia="Times New Roman"/>
          <w:b/>
          <w:sz w:val="22"/>
          <w:szCs w:val="22"/>
          <w:lang w:eastAsia="en-US"/>
        </w:rPr>
      </w:pPr>
      <w:r>
        <w:rPr>
          <w:rFonts w:eastAsia="Times New Roman"/>
          <w:sz w:val="22"/>
          <w:szCs w:val="22"/>
          <w:lang w:eastAsia="en-US"/>
        </w:rPr>
        <w:t>7.1. Para garantir o fiel cumprimento do objeto deste certame, a Empresa Contratada se compromete a:</w:t>
      </w:r>
    </w:p>
    <w:p w14:paraId="2BF7290D">
      <w:pPr>
        <w:spacing w:line="100" w:lineRule="atLeast"/>
        <w:jc w:val="both"/>
        <w:rPr>
          <w:rStyle w:val="49"/>
          <w:rFonts w:eastAsia="Times New Roman"/>
          <w:b/>
          <w:sz w:val="22"/>
          <w:szCs w:val="22"/>
          <w:lang w:eastAsia="en-US"/>
        </w:rPr>
      </w:pPr>
      <w:r>
        <w:rPr>
          <w:rStyle w:val="49"/>
          <w:rFonts w:eastAsia="Times New Roman"/>
          <w:b/>
          <w:sz w:val="22"/>
          <w:szCs w:val="22"/>
          <w:lang w:eastAsia="en-US"/>
        </w:rPr>
        <w:t>7.1.1</w:t>
      </w:r>
      <w:r>
        <w:rPr>
          <w:rStyle w:val="49"/>
          <w:rFonts w:eastAsia="Times New Roman"/>
          <w:sz w:val="22"/>
          <w:szCs w:val="22"/>
          <w:lang w:eastAsia="en-US"/>
        </w:rPr>
        <w:t xml:space="preserve"> Após a ordem de fornecimento, entregar e instalar a estrutura no prazo determinado;</w:t>
      </w:r>
    </w:p>
    <w:p w14:paraId="475E32F0">
      <w:pPr>
        <w:spacing w:line="100" w:lineRule="atLeast"/>
        <w:jc w:val="both"/>
        <w:rPr>
          <w:rStyle w:val="49"/>
          <w:rFonts w:eastAsia="Times New Roman"/>
          <w:b/>
          <w:sz w:val="22"/>
          <w:szCs w:val="22"/>
          <w:lang w:eastAsia="en-US"/>
        </w:rPr>
      </w:pPr>
      <w:r>
        <w:rPr>
          <w:rStyle w:val="49"/>
          <w:rFonts w:eastAsia="Times New Roman"/>
          <w:b/>
          <w:sz w:val="22"/>
          <w:szCs w:val="22"/>
          <w:lang w:eastAsia="en-US"/>
        </w:rPr>
        <w:t>7.1.2</w:t>
      </w:r>
      <w:r>
        <w:rPr>
          <w:rStyle w:val="49"/>
          <w:rFonts w:eastAsia="Times New Roman"/>
          <w:sz w:val="22"/>
          <w:szCs w:val="22"/>
          <w:lang w:eastAsia="en-US"/>
        </w:rPr>
        <w:t>. Manter contato com a contratante sobre quaisquer assuntos relativos ao produto, sempre por escrito, ressalvados os entendimentos verbais determinados pela urgência de cada caso;</w:t>
      </w:r>
    </w:p>
    <w:p w14:paraId="47111C6C">
      <w:pPr>
        <w:spacing w:line="100" w:lineRule="atLeast"/>
        <w:jc w:val="both"/>
        <w:rPr>
          <w:rStyle w:val="49"/>
          <w:rFonts w:eastAsia="Times New Roman"/>
          <w:b/>
          <w:sz w:val="22"/>
          <w:szCs w:val="22"/>
          <w:lang w:eastAsia="en-US"/>
        </w:rPr>
      </w:pPr>
      <w:r>
        <w:rPr>
          <w:rStyle w:val="49"/>
          <w:rFonts w:eastAsia="Times New Roman"/>
          <w:b/>
          <w:sz w:val="22"/>
          <w:szCs w:val="22"/>
          <w:lang w:eastAsia="en-US"/>
        </w:rPr>
        <w:t>7.1.3</w:t>
      </w:r>
      <w:r>
        <w:rPr>
          <w:rStyle w:val="49"/>
          <w:rFonts w:eastAsia="Times New Roman"/>
          <w:sz w:val="22"/>
          <w:szCs w:val="22"/>
          <w:lang w:eastAsia="en-US"/>
        </w:rPr>
        <w:t>. Arcar com todas as despesas, diretas ou indiretas, decorrentes do cumprimento das obrigações assumidas, sem qualquer ônus para a Contratante;</w:t>
      </w:r>
    </w:p>
    <w:p w14:paraId="29223BC9">
      <w:pPr>
        <w:spacing w:line="100" w:lineRule="atLeast"/>
        <w:jc w:val="both"/>
        <w:rPr>
          <w:rStyle w:val="49"/>
          <w:rFonts w:eastAsia="Times New Roman"/>
          <w:b/>
          <w:sz w:val="22"/>
          <w:szCs w:val="22"/>
          <w:lang w:eastAsia="en-US"/>
        </w:rPr>
      </w:pPr>
      <w:r>
        <w:rPr>
          <w:rStyle w:val="49"/>
          <w:rFonts w:eastAsia="Times New Roman"/>
          <w:b/>
          <w:sz w:val="22"/>
          <w:szCs w:val="22"/>
          <w:lang w:eastAsia="en-US"/>
        </w:rPr>
        <w:t>7.1.4</w:t>
      </w:r>
      <w:r>
        <w:rPr>
          <w:rStyle w:val="49"/>
          <w:rFonts w:eastAsia="Times New Roman"/>
          <w:sz w:val="22"/>
          <w:szCs w:val="22"/>
          <w:lang w:eastAsia="en-US"/>
        </w:rPr>
        <w:t xml:space="preserve"> Executar o fornecimento e instalação, de acordo com a solicitação da Câmara Municipal, obedecendo à proposta apresentada, dentro dos padrões estabelecidos, de acordo com as especificações do Aviso de Dispensa e deste Termo de Referência, responsabilizando-se por eventuais prejuízos decorrentes do descumprimento de condição estabelecida;</w:t>
      </w:r>
    </w:p>
    <w:p w14:paraId="18C2CCEC">
      <w:pPr>
        <w:spacing w:line="100" w:lineRule="atLeast"/>
        <w:jc w:val="both"/>
        <w:rPr>
          <w:rStyle w:val="49"/>
          <w:rFonts w:eastAsia="Times New Roman"/>
          <w:b/>
          <w:sz w:val="22"/>
          <w:szCs w:val="22"/>
          <w:lang w:eastAsia="en-US"/>
        </w:rPr>
      </w:pPr>
      <w:r>
        <w:rPr>
          <w:rStyle w:val="49"/>
          <w:rFonts w:eastAsia="Times New Roman"/>
          <w:b/>
          <w:sz w:val="22"/>
          <w:szCs w:val="22"/>
          <w:lang w:eastAsia="en-US"/>
        </w:rPr>
        <w:t>7.1.5</w:t>
      </w:r>
      <w:r>
        <w:rPr>
          <w:rStyle w:val="49"/>
          <w:rFonts w:eastAsia="Times New Roman"/>
          <w:sz w:val="22"/>
          <w:szCs w:val="22"/>
          <w:lang w:eastAsia="en-US"/>
        </w:rPr>
        <w:t>. Prestar os esclarecimentos que forem solicitados pela Câmara Municipal de Primavera do Leste- MT, cujas reclamações se obrigam a atender prontamente, bem como dar ciência a Câmara Municipal, imediatamente, por escrito, de qualquer anormalidade que verificar quando do fornecimento;</w:t>
      </w:r>
    </w:p>
    <w:p w14:paraId="14EB7304">
      <w:pPr>
        <w:spacing w:line="100" w:lineRule="atLeast"/>
        <w:jc w:val="both"/>
        <w:rPr>
          <w:rStyle w:val="49"/>
          <w:rFonts w:eastAsia="Times New Roman"/>
          <w:b/>
          <w:sz w:val="22"/>
          <w:szCs w:val="22"/>
          <w:lang w:eastAsia="en-US"/>
        </w:rPr>
      </w:pPr>
      <w:r>
        <w:rPr>
          <w:rStyle w:val="49"/>
          <w:rFonts w:eastAsia="Times New Roman"/>
          <w:b/>
          <w:sz w:val="22"/>
          <w:szCs w:val="22"/>
          <w:lang w:eastAsia="en-US"/>
        </w:rPr>
        <w:t>7.1.6</w:t>
      </w:r>
      <w:r>
        <w:rPr>
          <w:rStyle w:val="49"/>
          <w:rFonts w:eastAsia="Times New Roman"/>
          <w:sz w:val="22"/>
          <w:szCs w:val="22"/>
          <w:lang w:eastAsia="en-US"/>
        </w:rPr>
        <w:t>. Indenizar terceiros e/ou este Órgão, mesmo em caso de ausência ou omissão de fiscalização de sua parte, por quaisquer danos ou prejuízos causados, devendo a contratada adotar todas as medidas preventivas, com fiel observância às exigências das autoridades competentes e às disposições legais vigentes;</w:t>
      </w:r>
    </w:p>
    <w:p w14:paraId="70010443">
      <w:pPr>
        <w:spacing w:line="100" w:lineRule="atLeast"/>
        <w:jc w:val="both"/>
        <w:rPr>
          <w:rStyle w:val="49"/>
          <w:rFonts w:eastAsia="Times New Roman"/>
          <w:b/>
          <w:sz w:val="22"/>
          <w:szCs w:val="22"/>
          <w:lang w:eastAsia="en-US"/>
        </w:rPr>
      </w:pPr>
      <w:r>
        <w:rPr>
          <w:rStyle w:val="49"/>
          <w:rFonts w:eastAsia="Times New Roman"/>
          <w:b/>
          <w:sz w:val="22"/>
          <w:szCs w:val="22"/>
          <w:lang w:eastAsia="en-US"/>
        </w:rPr>
        <w:t>7.1.7</w:t>
      </w:r>
      <w:r>
        <w:rPr>
          <w:rStyle w:val="49"/>
          <w:rFonts w:eastAsia="Times New Roman"/>
          <w:sz w:val="22"/>
          <w:szCs w:val="22"/>
          <w:lang w:eastAsia="en-US"/>
        </w:rPr>
        <w:t>. O preço será aquele constante da proposta contendo o menor valor do item, em valor a ser pago em moeda nacional;</w:t>
      </w:r>
    </w:p>
    <w:p w14:paraId="5686F258">
      <w:pPr>
        <w:spacing w:line="100" w:lineRule="atLeast"/>
        <w:jc w:val="both"/>
        <w:rPr>
          <w:rStyle w:val="49"/>
          <w:rFonts w:eastAsia="Times New Roman"/>
          <w:b/>
          <w:sz w:val="22"/>
          <w:szCs w:val="22"/>
          <w:lang w:eastAsia="en-US"/>
        </w:rPr>
      </w:pPr>
      <w:r>
        <w:rPr>
          <w:rStyle w:val="49"/>
          <w:rFonts w:eastAsia="Times New Roman"/>
          <w:b/>
          <w:sz w:val="22"/>
          <w:szCs w:val="22"/>
          <w:lang w:eastAsia="en-US"/>
        </w:rPr>
        <w:t>7.1.8</w:t>
      </w:r>
      <w:r>
        <w:rPr>
          <w:rStyle w:val="49"/>
          <w:rFonts w:eastAsia="Times New Roman"/>
          <w:sz w:val="22"/>
          <w:szCs w:val="22"/>
          <w:lang w:eastAsia="en-US"/>
        </w:rPr>
        <w:t>. O preço ofertado pela empresa vencedora deverá incluir todas as despesas relativas ao objeto contratado (tributos, seguros, encargos sociais, frete etc.);</w:t>
      </w:r>
    </w:p>
    <w:p w14:paraId="5A6F9204">
      <w:pPr>
        <w:spacing w:line="100" w:lineRule="atLeast"/>
        <w:jc w:val="both"/>
        <w:rPr>
          <w:rStyle w:val="49"/>
          <w:rFonts w:eastAsia="Times New Roman"/>
          <w:b/>
          <w:sz w:val="22"/>
          <w:szCs w:val="22"/>
          <w:lang w:eastAsia="en-US"/>
        </w:rPr>
      </w:pPr>
      <w:r>
        <w:rPr>
          <w:rStyle w:val="49"/>
          <w:rFonts w:eastAsia="Times New Roman"/>
          <w:b/>
          <w:sz w:val="22"/>
          <w:szCs w:val="22"/>
          <w:lang w:eastAsia="en-US"/>
        </w:rPr>
        <w:t>7.1.9</w:t>
      </w:r>
      <w:r>
        <w:rPr>
          <w:rStyle w:val="49"/>
          <w:rFonts w:eastAsia="Times New Roman"/>
          <w:sz w:val="22"/>
          <w:szCs w:val="22"/>
          <w:lang w:eastAsia="en-US"/>
        </w:rPr>
        <w:t>. Responsabilizar-se por todo e qualquer tipo de atuação ou ação que venha a sofrer em decorrência do fornecimento em questão, bem como pelos Contratos de trabalho de seus empregados, mesmo nos casos que envolvam eventuais decisões judiciais, eximindo esta instituição de qualquer solidariedade ou responsabilidade.</w:t>
      </w:r>
    </w:p>
    <w:p w14:paraId="1E75B7B3">
      <w:pPr>
        <w:spacing w:line="100" w:lineRule="atLeast"/>
        <w:jc w:val="both"/>
        <w:rPr>
          <w:rStyle w:val="49"/>
          <w:rFonts w:eastAsia="Times New Roman"/>
          <w:b/>
          <w:sz w:val="22"/>
          <w:szCs w:val="22"/>
          <w:lang w:eastAsia="en-US"/>
        </w:rPr>
      </w:pPr>
      <w:r>
        <w:rPr>
          <w:rStyle w:val="49"/>
          <w:rFonts w:eastAsia="Times New Roman"/>
          <w:b/>
          <w:sz w:val="22"/>
          <w:szCs w:val="22"/>
          <w:lang w:eastAsia="en-US"/>
        </w:rPr>
        <w:t>7.1.10</w:t>
      </w:r>
      <w:r>
        <w:rPr>
          <w:rStyle w:val="49"/>
          <w:rFonts w:eastAsia="Times New Roman"/>
          <w:sz w:val="22"/>
          <w:szCs w:val="22"/>
          <w:lang w:eastAsia="en-US"/>
        </w:rPr>
        <w:t>. Efetuar a imediata correção das deficiências apontadas pela Contratante, com relação ao fornecimento ou instalação.</w:t>
      </w:r>
    </w:p>
    <w:p w14:paraId="2BE9449F">
      <w:pPr>
        <w:spacing w:line="100" w:lineRule="atLeast"/>
        <w:jc w:val="both"/>
        <w:rPr>
          <w:sz w:val="22"/>
          <w:szCs w:val="22"/>
        </w:rPr>
      </w:pPr>
      <w:r>
        <w:rPr>
          <w:rStyle w:val="49"/>
          <w:rFonts w:eastAsia="Times New Roman"/>
          <w:b/>
          <w:sz w:val="22"/>
          <w:szCs w:val="22"/>
          <w:lang w:eastAsia="en-US"/>
        </w:rPr>
        <w:t>7.1.12</w:t>
      </w:r>
      <w:r>
        <w:rPr>
          <w:rStyle w:val="49"/>
          <w:rFonts w:eastAsia="Times New Roman"/>
          <w:sz w:val="22"/>
          <w:szCs w:val="22"/>
          <w:lang w:eastAsia="en-US"/>
        </w:rPr>
        <w:t xml:space="preserve"> Disponibilizar o fornecimento dentro dos padrões estabelecidos neste Termo de Referência, responsabilizando-se por eventuais prejuízos decorrentes do descumprimento de qualquer cláusula ou condição aqui estabelecida;</w:t>
      </w:r>
    </w:p>
    <w:p w14:paraId="24C0D624">
      <w:pPr>
        <w:spacing w:line="100" w:lineRule="atLeast"/>
        <w:jc w:val="both"/>
        <w:rPr>
          <w:rStyle w:val="49"/>
          <w:rFonts w:eastAsia="Times New Roman"/>
          <w:b/>
          <w:sz w:val="22"/>
          <w:szCs w:val="22"/>
          <w:lang w:eastAsia="en-US"/>
        </w:rPr>
      </w:pPr>
      <w:r>
        <w:rPr>
          <w:rFonts w:eastAsia="Times New Roman"/>
          <w:b/>
          <w:sz w:val="22"/>
          <w:szCs w:val="22"/>
          <w:lang w:eastAsia="en-US"/>
        </w:rPr>
        <w:t>8. Das Obrigações da Contratante:</w:t>
      </w:r>
    </w:p>
    <w:p w14:paraId="3E50FE40">
      <w:pPr>
        <w:spacing w:line="100" w:lineRule="atLeast"/>
        <w:jc w:val="both"/>
        <w:rPr>
          <w:rStyle w:val="49"/>
          <w:rFonts w:eastAsia="Times New Roman"/>
          <w:b/>
          <w:sz w:val="22"/>
          <w:szCs w:val="22"/>
          <w:lang w:eastAsia="en-US"/>
        </w:rPr>
      </w:pPr>
      <w:r>
        <w:rPr>
          <w:rStyle w:val="49"/>
          <w:rFonts w:eastAsia="Times New Roman"/>
          <w:b/>
          <w:sz w:val="22"/>
          <w:szCs w:val="22"/>
          <w:lang w:eastAsia="en-US"/>
        </w:rPr>
        <w:t>8.1</w:t>
      </w:r>
      <w:r>
        <w:rPr>
          <w:rStyle w:val="49"/>
          <w:rFonts w:eastAsia="Times New Roman"/>
          <w:sz w:val="22"/>
          <w:szCs w:val="22"/>
          <w:lang w:eastAsia="en-US"/>
        </w:rPr>
        <w:t>. A Câmara Municipal de Primavera do Leste Estado de Mato Grosso obriga-se a:</w:t>
      </w:r>
    </w:p>
    <w:p w14:paraId="24532161">
      <w:pPr>
        <w:spacing w:line="100" w:lineRule="atLeast"/>
        <w:jc w:val="both"/>
        <w:rPr>
          <w:rStyle w:val="49"/>
          <w:rFonts w:eastAsia="Times New Roman"/>
          <w:b/>
          <w:sz w:val="22"/>
          <w:szCs w:val="22"/>
          <w:lang w:eastAsia="en-US"/>
        </w:rPr>
      </w:pPr>
      <w:r>
        <w:rPr>
          <w:rStyle w:val="49"/>
          <w:rFonts w:eastAsia="Times New Roman"/>
          <w:b/>
          <w:sz w:val="22"/>
          <w:szCs w:val="22"/>
          <w:lang w:eastAsia="en-US"/>
        </w:rPr>
        <w:t>8.1.1</w:t>
      </w:r>
      <w:r>
        <w:rPr>
          <w:rStyle w:val="49"/>
          <w:rFonts w:eastAsia="Times New Roman"/>
          <w:sz w:val="22"/>
          <w:szCs w:val="22"/>
          <w:lang w:eastAsia="en-US"/>
        </w:rPr>
        <w:t>. Proporcionar todas as facilidades indispensáveis à boa execução das obrigações a serem contratadas, inclusive permitindo o acesso de empregados, prepostos ou representantes da empresa fornecedoras nas dependências da Câmara Municipal;</w:t>
      </w:r>
    </w:p>
    <w:p w14:paraId="4F5E3898">
      <w:pPr>
        <w:spacing w:line="100" w:lineRule="atLeast"/>
        <w:jc w:val="both"/>
        <w:rPr>
          <w:rStyle w:val="49"/>
          <w:rFonts w:eastAsia="Times New Roman"/>
          <w:b/>
          <w:sz w:val="22"/>
          <w:szCs w:val="22"/>
          <w:lang w:eastAsia="en-US"/>
        </w:rPr>
      </w:pPr>
      <w:r>
        <w:rPr>
          <w:rStyle w:val="49"/>
          <w:rFonts w:eastAsia="Times New Roman"/>
          <w:b/>
          <w:sz w:val="22"/>
          <w:szCs w:val="22"/>
          <w:lang w:eastAsia="en-US"/>
        </w:rPr>
        <w:t>8.1.2</w:t>
      </w:r>
      <w:r>
        <w:rPr>
          <w:rStyle w:val="49"/>
          <w:rFonts w:eastAsia="Times New Roman"/>
          <w:sz w:val="22"/>
          <w:szCs w:val="22"/>
          <w:lang w:eastAsia="en-US"/>
        </w:rPr>
        <w:t>. Permitir ao pessoal da contratada, acesso ao local da entrega;</w:t>
      </w:r>
    </w:p>
    <w:p w14:paraId="2A060736">
      <w:pPr>
        <w:spacing w:line="100" w:lineRule="atLeast"/>
        <w:jc w:val="both"/>
        <w:rPr>
          <w:rStyle w:val="49"/>
          <w:rFonts w:eastAsia="Times New Roman"/>
          <w:b/>
          <w:sz w:val="22"/>
          <w:szCs w:val="22"/>
          <w:lang w:eastAsia="en-US"/>
        </w:rPr>
      </w:pPr>
      <w:r>
        <w:rPr>
          <w:rStyle w:val="49"/>
          <w:rFonts w:eastAsia="Times New Roman"/>
          <w:b/>
          <w:sz w:val="22"/>
          <w:szCs w:val="22"/>
          <w:lang w:eastAsia="en-US"/>
        </w:rPr>
        <w:t>8.1.3</w:t>
      </w:r>
      <w:r>
        <w:rPr>
          <w:rStyle w:val="49"/>
          <w:rFonts w:eastAsia="Times New Roman"/>
          <w:sz w:val="22"/>
          <w:szCs w:val="22"/>
          <w:lang w:eastAsia="en-US"/>
        </w:rPr>
        <w:t>. Notificar a CONTRATADA de qualquer irregularidade encontrada na entrega do produto;</w:t>
      </w:r>
    </w:p>
    <w:p w14:paraId="0589DF78">
      <w:pPr>
        <w:spacing w:line="100" w:lineRule="atLeast"/>
        <w:jc w:val="both"/>
        <w:rPr>
          <w:rStyle w:val="49"/>
          <w:rFonts w:eastAsia="Times New Roman"/>
          <w:b/>
          <w:sz w:val="22"/>
          <w:szCs w:val="22"/>
          <w:lang w:eastAsia="en-US"/>
        </w:rPr>
      </w:pPr>
      <w:r>
        <w:rPr>
          <w:rStyle w:val="49"/>
          <w:rFonts w:eastAsia="Times New Roman"/>
          <w:b/>
          <w:sz w:val="22"/>
          <w:szCs w:val="22"/>
          <w:lang w:eastAsia="en-US"/>
        </w:rPr>
        <w:t>8.1.4</w:t>
      </w:r>
      <w:r>
        <w:rPr>
          <w:rStyle w:val="49"/>
          <w:rFonts w:eastAsia="Times New Roman"/>
          <w:sz w:val="22"/>
          <w:szCs w:val="22"/>
          <w:lang w:eastAsia="en-US"/>
        </w:rPr>
        <w:t>. Efetuar os pagamentos devidos, nas condições estabelecidas neste Termo de Referência, garantindo a real disponibilidade financeira para a quitação de seus débitos frente a empresa fornecedora do produto, sob pena de ilegalidade dos atos;</w:t>
      </w:r>
    </w:p>
    <w:p w14:paraId="44574B96">
      <w:pPr>
        <w:spacing w:line="100" w:lineRule="atLeast"/>
        <w:jc w:val="both"/>
        <w:rPr>
          <w:rStyle w:val="49"/>
          <w:rFonts w:eastAsia="Times New Roman"/>
          <w:b/>
          <w:sz w:val="22"/>
          <w:szCs w:val="22"/>
          <w:lang w:eastAsia="en-US"/>
        </w:rPr>
      </w:pPr>
      <w:r>
        <w:rPr>
          <w:rStyle w:val="49"/>
          <w:rFonts w:eastAsia="Times New Roman"/>
          <w:b/>
          <w:sz w:val="22"/>
          <w:szCs w:val="22"/>
          <w:lang w:eastAsia="en-US"/>
        </w:rPr>
        <w:t>8.1.5</w:t>
      </w:r>
      <w:r>
        <w:rPr>
          <w:rStyle w:val="49"/>
          <w:rFonts w:eastAsia="Times New Roman"/>
          <w:sz w:val="22"/>
          <w:szCs w:val="22"/>
          <w:lang w:eastAsia="en-US"/>
        </w:rPr>
        <w:t>. Receber o objeto homologado, nos termos, prazos, quantitativos, qualidade e condições estabelecidas neste instrumento;</w:t>
      </w:r>
    </w:p>
    <w:p w14:paraId="0E08E4A9">
      <w:pPr>
        <w:spacing w:line="100" w:lineRule="atLeast"/>
        <w:jc w:val="both"/>
        <w:rPr>
          <w:rStyle w:val="49"/>
          <w:rFonts w:eastAsia="Times New Roman"/>
          <w:b/>
          <w:sz w:val="22"/>
          <w:szCs w:val="22"/>
          <w:lang w:eastAsia="en-US"/>
        </w:rPr>
      </w:pPr>
      <w:r>
        <w:rPr>
          <w:rStyle w:val="49"/>
          <w:rFonts w:eastAsia="Times New Roman"/>
          <w:b/>
          <w:sz w:val="22"/>
          <w:szCs w:val="22"/>
          <w:lang w:eastAsia="en-US"/>
        </w:rPr>
        <w:t>8.1.6</w:t>
      </w:r>
      <w:r>
        <w:rPr>
          <w:rStyle w:val="49"/>
          <w:rFonts w:eastAsia="Times New Roman"/>
          <w:sz w:val="22"/>
          <w:szCs w:val="22"/>
          <w:lang w:eastAsia="en-US"/>
        </w:rPr>
        <w:t>. Recusar e devolver nas seguintes hipóteses:</w:t>
      </w:r>
    </w:p>
    <w:p w14:paraId="57BCA9F5">
      <w:pPr>
        <w:spacing w:line="100" w:lineRule="atLeast"/>
        <w:jc w:val="both"/>
        <w:rPr>
          <w:rStyle w:val="49"/>
          <w:rFonts w:eastAsia="Times New Roman"/>
          <w:b/>
          <w:sz w:val="22"/>
          <w:szCs w:val="22"/>
          <w:lang w:eastAsia="en-US"/>
        </w:rPr>
      </w:pPr>
      <w:r>
        <w:rPr>
          <w:rStyle w:val="49"/>
          <w:rFonts w:eastAsia="Times New Roman"/>
          <w:b/>
          <w:sz w:val="22"/>
          <w:szCs w:val="22"/>
          <w:lang w:eastAsia="en-US"/>
        </w:rPr>
        <w:t>8.1.7</w:t>
      </w:r>
      <w:r>
        <w:rPr>
          <w:rStyle w:val="49"/>
          <w:rFonts w:eastAsia="Times New Roman"/>
          <w:sz w:val="22"/>
          <w:szCs w:val="22"/>
          <w:lang w:eastAsia="en-US"/>
        </w:rPr>
        <w:t>. Que apresentarem vício de qualidade ou impropriedade para o uso;</w:t>
      </w:r>
    </w:p>
    <w:p w14:paraId="71591E48">
      <w:pPr>
        <w:spacing w:line="100" w:lineRule="atLeast"/>
        <w:jc w:val="both"/>
        <w:rPr>
          <w:rStyle w:val="49"/>
          <w:rFonts w:eastAsia="Times New Roman"/>
          <w:b/>
          <w:sz w:val="22"/>
          <w:szCs w:val="22"/>
          <w:lang w:eastAsia="en-US"/>
        </w:rPr>
      </w:pPr>
      <w:r>
        <w:rPr>
          <w:rStyle w:val="49"/>
          <w:rFonts w:eastAsia="Times New Roman"/>
          <w:b/>
          <w:sz w:val="22"/>
          <w:szCs w:val="22"/>
          <w:lang w:eastAsia="en-US"/>
        </w:rPr>
        <w:t>8.1.8</w:t>
      </w:r>
      <w:r>
        <w:rPr>
          <w:rStyle w:val="49"/>
          <w:rFonts w:eastAsia="Times New Roman"/>
          <w:sz w:val="22"/>
          <w:szCs w:val="22"/>
          <w:lang w:eastAsia="en-US"/>
        </w:rPr>
        <w:t xml:space="preserve"> Que possuírem nota fiscal com especificação e quantidade em desacordo com solicitado;</w:t>
      </w:r>
    </w:p>
    <w:p w14:paraId="2A81EA98">
      <w:pPr>
        <w:spacing w:line="100" w:lineRule="atLeast"/>
        <w:jc w:val="both"/>
        <w:rPr>
          <w:rStyle w:val="49"/>
          <w:rFonts w:eastAsia="Times New Roman"/>
          <w:b/>
          <w:sz w:val="22"/>
          <w:szCs w:val="22"/>
          <w:lang w:eastAsia="en-US"/>
        </w:rPr>
      </w:pPr>
      <w:r>
        <w:rPr>
          <w:rStyle w:val="49"/>
          <w:rFonts w:eastAsia="Times New Roman"/>
          <w:b/>
          <w:sz w:val="22"/>
          <w:szCs w:val="22"/>
          <w:lang w:eastAsia="en-US"/>
        </w:rPr>
        <w:t>8.1.9</w:t>
      </w:r>
      <w:r>
        <w:rPr>
          <w:rStyle w:val="49"/>
          <w:rFonts w:eastAsia="Times New Roman"/>
          <w:sz w:val="22"/>
          <w:szCs w:val="22"/>
          <w:lang w:eastAsia="en-US"/>
        </w:rPr>
        <w:t xml:space="preserve"> Quando entregues em desacordo com as especificações dos requisitos obrigatórios deste.</w:t>
      </w:r>
    </w:p>
    <w:p w14:paraId="419019D6">
      <w:pPr>
        <w:spacing w:line="100" w:lineRule="atLeast"/>
        <w:jc w:val="both"/>
        <w:rPr>
          <w:rStyle w:val="49"/>
          <w:rFonts w:eastAsia="Times New Roman"/>
          <w:b/>
          <w:sz w:val="22"/>
          <w:szCs w:val="22"/>
          <w:lang w:eastAsia="en-US"/>
        </w:rPr>
      </w:pPr>
      <w:r>
        <w:rPr>
          <w:rStyle w:val="49"/>
          <w:rFonts w:eastAsia="Times New Roman"/>
          <w:b/>
          <w:sz w:val="22"/>
          <w:szCs w:val="22"/>
          <w:lang w:eastAsia="en-US"/>
        </w:rPr>
        <w:t>8.1.10</w:t>
      </w:r>
      <w:r>
        <w:rPr>
          <w:rStyle w:val="49"/>
          <w:rFonts w:eastAsia="Times New Roman"/>
          <w:sz w:val="22"/>
          <w:szCs w:val="22"/>
          <w:lang w:eastAsia="en-US"/>
        </w:rPr>
        <w:t xml:space="preserve"> O recebimento provisório dar-se-á, por responsável indicado pela Câmara Municipal de Primavera do Leste, no ato da entrega do produto e da nota fiscal pela adjudicatária;</w:t>
      </w:r>
    </w:p>
    <w:p w14:paraId="4F74E965">
      <w:pPr>
        <w:spacing w:line="100" w:lineRule="atLeast"/>
        <w:jc w:val="both"/>
        <w:rPr>
          <w:rStyle w:val="49"/>
          <w:rFonts w:eastAsia="Times New Roman"/>
          <w:b/>
          <w:sz w:val="22"/>
          <w:szCs w:val="22"/>
          <w:lang w:eastAsia="en-US"/>
        </w:rPr>
      </w:pPr>
      <w:r>
        <w:rPr>
          <w:rStyle w:val="49"/>
          <w:rFonts w:eastAsia="Times New Roman"/>
          <w:b/>
          <w:sz w:val="22"/>
          <w:szCs w:val="22"/>
          <w:lang w:eastAsia="en-US"/>
        </w:rPr>
        <w:t>8.1.11</w:t>
      </w:r>
      <w:r>
        <w:rPr>
          <w:rStyle w:val="49"/>
          <w:rFonts w:eastAsia="Times New Roman"/>
          <w:sz w:val="22"/>
          <w:szCs w:val="22"/>
          <w:lang w:eastAsia="en-US"/>
        </w:rPr>
        <w:t xml:space="preserve"> O recebimento provisório não implica sua aceitação, podendo ser rejeitados, no todo ou em parte, quando em desacordo com as especificações constantes neste Termo de Referência e na proposta, devendo ser substituídos no prazo de até 07 (sete) dias úteis ao constatar qualquer irregularidade;</w:t>
      </w:r>
    </w:p>
    <w:p w14:paraId="3FBDC615">
      <w:pPr>
        <w:spacing w:line="100" w:lineRule="atLeast"/>
        <w:jc w:val="both"/>
        <w:rPr>
          <w:rStyle w:val="49"/>
          <w:rFonts w:eastAsia="Times New Roman"/>
          <w:b/>
          <w:sz w:val="22"/>
          <w:szCs w:val="22"/>
          <w:lang w:eastAsia="en-US"/>
        </w:rPr>
      </w:pPr>
      <w:r>
        <w:rPr>
          <w:rStyle w:val="49"/>
          <w:rFonts w:eastAsia="Times New Roman"/>
          <w:b/>
          <w:sz w:val="22"/>
          <w:szCs w:val="22"/>
          <w:lang w:eastAsia="en-US"/>
        </w:rPr>
        <w:t>8.1.12</w:t>
      </w:r>
      <w:r>
        <w:rPr>
          <w:rStyle w:val="49"/>
          <w:rFonts w:eastAsia="Times New Roman"/>
          <w:sz w:val="22"/>
          <w:szCs w:val="22"/>
          <w:lang w:eastAsia="en-US"/>
        </w:rPr>
        <w:t xml:space="preserve"> O recebimento definitivo dar-se-á, pela Câmara Municipal, após a verificação do cumprimento das especificações, pelo setor demandante e/ou servidor nomeado pela presidência, nos termos deste e da proposta adjudicada, no prazo de até 07 (sete) dias úteis, contados do recebimento provisório;</w:t>
      </w:r>
    </w:p>
    <w:p w14:paraId="0CDF3953">
      <w:pPr>
        <w:spacing w:line="100" w:lineRule="atLeast"/>
        <w:jc w:val="both"/>
        <w:rPr>
          <w:sz w:val="22"/>
          <w:szCs w:val="22"/>
        </w:rPr>
      </w:pPr>
      <w:r>
        <w:rPr>
          <w:rStyle w:val="49"/>
          <w:rFonts w:eastAsia="Times New Roman"/>
          <w:b/>
          <w:sz w:val="22"/>
          <w:szCs w:val="22"/>
          <w:lang w:eastAsia="en-US"/>
        </w:rPr>
        <w:t>8.1.13</w:t>
      </w:r>
      <w:r>
        <w:rPr>
          <w:rStyle w:val="49"/>
          <w:rFonts w:eastAsia="Times New Roman"/>
          <w:sz w:val="22"/>
          <w:szCs w:val="22"/>
          <w:lang w:eastAsia="en-US"/>
        </w:rPr>
        <w:t xml:space="preserve"> Efetuar o pagamento, após o recebimento definitivo, o qual deverá ser atestado por servidor designado pela presidência.</w:t>
      </w:r>
    </w:p>
    <w:p w14:paraId="1262009E">
      <w:pPr>
        <w:spacing w:line="100" w:lineRule="atLeast"/>
        <w:jc w:val="both"/>
        <w:rPr>
          <w:sz w:val="22"/>
          <w:szCs w:val="22"/>
        </w:rPr>
      </w:pPr>
    </w:p>
    <w:p w14:paraId="1A7EE509">
      <w:pPr>
        <w:spacing w:line="276" w:lineRule="auto"/>
        <w:jc w:val="both"/>
        <w:rPr>
          <w:rStyle w:val="49"/>
          <w:rFonts w:eastAsia="Times New Roman" w:cs="Times New Roman"/>
          <w:b/>
          <w:bCs w:val="0"/>
          <w:sz w:val="22"/>
          <w:szCs w:val="22"/>
          <w:lang w:eastAsia="en-US"/>
        </w:rPr>
      </w:pPr>
      <w:r>
        <w:rPr>
          <w:rFonts w:eastAsia="Times New Roman" w:cs="Times New Roman"/>
          <w:b/>
          <w:sz w:val="22"/>
          <w:szCs w:val="22"/>
          <w:lang w:eastAsia="en-US"/>
        </w:rPr>
        <w:t>9. Vigência da Ata de Registro de Preços:</w:t>
      </w:r>
    </w:p>
    <w:p w14:paraId="316AB0E7">
      <w:pPr>
        <w:spacing w:line="276" w:lineRule="auto"/>
        <w:jc w:val="both"/>
        <w:rPr>
          <w:sz w:val="22"/>
          <w:szCs w:val="22"/>
        </w:rPr>
      </w:pPr>
      <w:r>
        <w:rPr>
          <w:rStyle w:val="49"/>
          <w:rFonts w:eastAsia="Times New Roman" w:cs="Times New Roman"/>
          <w:b/>
          <w:bCs w:val="0"/>
          <w:sz w:val="22"/>
          <w:szCs w:val="22"/>
          <w:lang w:eastAsia="en-US"/>
        </w:rPr>
        <w:t>9.1</w:t>
      </w:r>
      <w:r>
        <w:rPr>
          <w:rStyle w:val="49"/>
          <w:rFonts w:eastAsia="Times New Roman" w:cs="Times New Roman"/>
          <w:b w:val="0"/>
          <w:bCs w:val="0"/>
          <w:sz w:val="22"/>
          <w:szCs w:val="22"/>
          <w:lang w:eastAsia="en-US"/>
        </w:rPr>
        <w:t xml:space="preserve"> O prazo de vigência da Ata </w:t>
      </w:r>
      <w:r>
        <w:rPr>
          <w:rStyle w:val="49"/>
          <w:rFonts w:eastAsia="Times New Roman" w:cs="Times New Roman"/>
          <w:b w:val="0"/>
          <w:bCs w:val="0"/>
          <w:sz w:val="22"/>
          <w:szCs w:val="22"/>
          <w:u w:val="single"/>
          <w:lang w:eastAsia="en-US"/>
        </w:rPr>
        <w:t>de Registro de Preços será 12 (doze) meses a partir da data da sua assinatura</w:t>
      </w:r>
      <w:r>
        <w:rPr>
          <w:rStyle w:val="49"/>
          <w:rFonts w:eastAsia="Times New Roman" w:cs="Times New Roman"/>
          <w:b w:val="0"/>
          <w:bCs w:val="0"/>
          <w:sz w:val="22"/>
          <w:szCs w:val="22"/>
          <w:lang w:eastAsia="en-US"/>
        </w:rPr>
        <w:t>, a qual será feita publicação no Diário Oficial do Município de Primavera do Leste – MT, a vigência dos contratos decorrentes da Ata de Registro de Preço, regula-se pela Lei n. 14.133/2021, especificamente no art. 84 e seus incisos, podendo ser prorrogado na forma da lei.</w:t>
      </w:r>
    </w:p>
    <w:p w14:paraId="3CB72108">
      <w:pPr>
        <w:spacing w:line="100" w:lineRule="atLeast"/>
        <w:jc w:val="both"/>
        <w:rPr>
          <w:rStyle w:val="49"/>
          <w:rFonts w:eastAsia="Times New Roman"/>
          <w:b/>
          <w:sz w:val="22"/>
          <w:szCs w:val="22"/>
          <w:lang w:eastAsia="en-US"/>
        </w:rPr>
      </w:pPr>
      <w:r>
        <w:rPr>
          <w:rFonts w:eastAsia="Times New Roman"/>
          <w:b/>
          <w:sz w:val="22"/>
          <w:szCs w:val="22"/>
          <w:lang w:eastAsia="en-US"/>
        </w:rPr>
        <w:t>10. Das condições de pagamento:</w:t>
      </w:r>
    </w:p>
    <w:p w14:paraId="7C9C4909">
      <w:pPr>
        <w:spacing w:line="100" w:lineRule="atLeast"/>
        <w:jc w:val="both"/>
        <w:rPr>
          <w:rFonts w:eastAsia="Times New Roman"/>
          <w:b/>
          <w:sz w:val="22"/>
          <w:szCs w:val="22"/>
          <w:lang w:eastAsia="en-US"/>
        </w:rPr>
      </w:pPr>
      <w:r>
        <w:rPr>
          <w:rStyle w:val="49"/>
          <w:rFonts w:eastAsia="Times New Roman"/>
          <w:b/>
          <w:sz w:val="22"/>
          <w:szCs w:val="22"/>
          <w:lang w:eastAsia="en-US"/>
        </w:rPr>
        <w:t>10.1</w:t>
      </w:r>
      <w:r>
        <w:rPr>
          <w:rStyle w:val="49"/>
          <w:rFonts w:eastAsia="Times New Roman"/>
          <w:sz w:val="22"/>
          <w:szCs w:val="22"/>
          <w:lang w:eastAsia="en-US"/>
        </w:rPr>
        <w:t xml:space="preserve"> O Órgão efetuará o pagamento à CONTRATADA, através de crédito em conta corrente mantida pela CONTRATADA, preferencialmente em até o 5º (quinto) dia útil, contados a partir da data da apresentação da nota fiscal discriminativa acompanhada da correspondente Ordem de Fornecimento, com o respectivo comprovante, de que o fornecimento foi realizado a contento.</w:t>
      </w:r>
    </w:p>
    <w:p w14:paraId="63096E8D">
      <w:pPr>
        <w:spacing w:line="100" w:lineRule="atLeast"/>
        <w:jc w:val="both"/>
        <w:rPr>
          <w:rStyle w:val="49"/>
          <w:rFonts w:eastAsia="Arial" w:cs="Arial"/>
          <w:b/>
          <w:sz w:val="22"/>
          <w:szCs w:val="22"/>
          <w:lang w:eastAsia="en-US"/>
        </w:rPr>
      </w:pPr>
      <w:r>
        <w:rPr>
          <w:rFonts w:eastAsia="Times New Roman"/>
          <w:b/>
          <w:sz w:val="22"/>
          <w:szCs w:val="22"/>
          <w:lang w:eastAsia="en-US"/>
        </w:rPr>
        <w:t>11. Da dotação orçamentária:</w:t>
      </w:r>
    </w:p>
    <w:p w14:paraId="6CB91568">
      <w:pPr>
        <w:spacing w:line="100" w:lineRule="atLeast"/>
        <w:jc w:val="both"/>
        <w:rPr>
          <w:sz w:val="22"/>
          <w:szCs w:val="22"/>
        </w:rPr>
      </w:pPr>
      <w:r>
        <w:rPr>
          <w:rStyle w:val="49"/>
          <w:rFonts w:eastAsia="Arial" w:cs="Arial"/>
          <w:b/>
          <w:sz w:val="22"/>
          <w:szCs w:val="22"/>
          <w:lang w:eastAsia="en-US"/>
        </w:rPr>
        <w:t>11.1</w:t>
      </w:r>
      <w:r>
        <w:rPr>
          <w:rStyle w:val="49"/>
          <w:rFonts w:eastAsia="Arial" w:cs="Arial"/>
          <w:sz w:val="22"/>
          <w:szCs w:val="22"/>
          <w:lang w:eastAsia="en-US"/>
        </w:rPr>
        <w:t>. As despesas oriundas da presente aquisição ocorrerão nas dotações orçamentárias relacionadas abaixo:</w:t>
      </w:r>
    </w:p>
    <w:tbl>
      <w:tblPr>
        <w:tblStyle w:val="14"/>
        <w:tblW w:w="0" w:type="auto"/>
        <w:tblInd w:w="55" w:type="dxa"/>
        <w:tblLayout w:type="fixed"/>
        <w:tblCellMar>
          <w:top w:w="55" w:type="dxa"/>
          <w:left w:w="55" w:type="dxa"/>
          <w:bottom w:w="55" w:type="dxa"/>
          <w:right w:w="55" w:type="dxa"/>
        </w:tblCellMar>
      </w:tblPr>
      <w:tblGrid>
        <w:gridCol w:w="2495"/>
        <w:gridCol w:w="2322"/>
        <w:gridCol w:w="4256"/>
      </w:tblGrid>
      <w:tr w14:paraId="7FB251FA">
        <w:tblPrEx>
          <w:tblCellMar>
            <w:top w:w="55" w:type="dxa"/>
            <w:left w:w="55" w:type="dxa"/>
            <w:bottom w:w="55" w:type="dxa"/>
            <w:right w:w="55" w:type="dxa"/>
          </w:tblCellMar>
        </w:tblPrEx>
        <w:tc>
          <w:tcPr>
            <w:tcW w:w="2495" w:type="dxa"/>
            <w:tcBorders>
              <w:top w:val="single" w:color="000000" w:sz="0" w:space="0"/>
              <w:left w:val="single" w:color="000000" w:sz="0" w:space="0"/>
              <w:bottom w:val="single" w:color="000000" w:sz="0" w:space="0"/>
            </w:tcBorders>
            <w:shd w:val="clear" w:color="auto" w:fill="auto"/>
            <w:noWrap w:val="0"/>
            <w:vAlign w:val="top"/>
          </w:tcPr>
          <w:p w14:paraId="191EC5FA">
            <w:pPr>
              <w:pStyle w:val="218"/>
              <w:spacing w:line="100" w:lineRule="atLeast"/>
              <w:rPr>
                <w:b/>
                <w:bCs/>
                <w:sz w:val="22"/>
                <w:szCs w:val="22"/>
              </w:rPr>
            </w:pPr>
            <w:r>
              <w:rPr>
                <w:b/>
                <w:bCs/>
                <w:sz w:val="22"/>
                <w:szCs w:val="22"/>
              </w:rPr>
              <w:t>Órgão</w:t>
            </w:r>
          </w:p>
        </w:tc>
        <w:tc>
          <w:tcPr>
            <w:tcW w:w="2322" w:type="dxa"/>
            <w:tcBorders>
              <w:top w:val="single" w:color="000000" w:sz="0" w:space="0"/>
              <w:left w:val="single" w:color="000000" w:sz="0" w:space="0"/>
              <w:bottom w:val="single" w:color="000000" w:sz="0" w:space="0"/>
            </w:tcBorders>
            <w:shd w:val="clear" w:color="auto" w:fill="auto"/>
            <w:noWrap w:val="0"/>
            <w:vAlign w:val="top"/>
          </w:tcPr>
          <w:p w14:paraId="78303396">
            <w:pPr>
              <w:pStyle w:val="218"/>
              <w:spacing w:line="100" w:lineRule="atLeast"/>
              <w:rPr>
                <w:b/>
                <w:bCs/>
                <w:sz w:val="22"/>
                <w:szCs w:val="22"/>
              </w:rPr>
            </w:pPr>
            <w:r>
              <w:rPr>
                <w:b/>
                <w:bCs/>
                <w:sz w:val="22"/>
                <w:szCs w:val="22"/>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14:paraId="66C6D291">
            <w:pPr>
              <w:pStyle w:val="218"/>
              <w:spacing w:line="100" w:lineRule="atLeast"/>
              <w:rPr>
                <w:sz w:val="22"/>
                <w:szCs w:val="22"/>
              </w:rPr>
            </w:pPr>
            <w:r>
              <w:rPr>
                <w:b/>
                <w:bCs/>
                <w:sz w:val="22"/>
                <w:szCs w:val="22"/>
              </w:rPr>
              <w:t>CÂMARA MUNICIPAL</w:t>
            </w:r>
          </w:p>
        </w:tc>
      </w:tr>
      <w:tr w14:paraId="1058CDBF">
        <w:tblPrEx>
          <w:tblCellMar>
            <w:top w:w="55" w:type="dxa"/>
            <w:left w:w="55" w:type="dxa"/>
            <w:bottom w:w="55" w:type="dxa"/>
            <w:right w:w="55" w:type="dxa"/>
          </w:tblCellMar>
        </w:tblPrEx>
        <w:tc>
          <w:tcPr>
            <w:tcW w:w="2495" w:type="dxa"/>
            <w:tcBorders>
              <w:left w:val="single" w:color="000000" w:sz="0" w:space="0"/>
              <w:bottom w:val="single" w:color="000000" w:sz="0" w:space="0"/>
            </w:tcBorders>
            <w:shd w:val="clear" w:color="auto" w:fill="auto"/>
            <w:noWrap w:val="0"/>
            <w:vAlign w:val="top"/>
          </w:tcPr>
          <w:p w14:paraId="29C222C5">
            <w:pPr>
              <w:pStyle w:val="218"/>
              <w:spacing w:line="100" w:lineRule="atLeast"/>
              <w:rPr>
                <w:sz w:val="22"/>
                <w:szCs w:val="22"/>
              </w:rPr>
            </w:pPr>
            <w:r>
              <w:rPr>
                <w:sz w:val="22"/>
                <w:szCs w:val="22"/>
              </w:rPr>
              <w:t>Unidade Orçamentária</w:t>
            </w:r>
          </w:p>
        </w:tc>
        <w:tc>
          <w:tcPr>
            <w:tcW w:w="2322" w:type="dxa"/>
            <w:tcBorders>
              <w:left w:val="single" w:color="000000" w:sz="0" w:space="0"/>
              <w:bottom w:val="single" w:color="000000" w:sz="0" w:space="0"/>
            </w:tcBorders>
            <w:shd w:val="clear" w:color="auto" w:fill="auto"/>
            <w:noWrap w:val="0"/>
            <w:vAlign w:val="top"/>
          </w:tcPr>
          <w:p w14:paraId="1E085402">
            <w:pPr>
              <w:pStyle w:val="218"/>
              <w:spacing w:line="100" w:lineRule="atLeast"/>
              <w:rPr>
                <w:sz w:val="22"/>
                <w:szCs w:val="22"/>
              </w:rPr>
            </w:pPr>
            <w:r>
              <w:rPr>
                <w:sz w:val="22"/>
                <w:szCs w:val="22"/>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2FAB1C99">
            <w:pPr>
              <w:pStyle w:val="218"/>
              <w:spacing w:line="100" w:lineRule="atLeast"/>
              <w:rPr>
                <w:sz w:val="22"/>
                <w:szCs w:val="22"/>
              </w:rPr>
            </w:pPr>
            <w:r>
              <w:rPr>
                <w:sz w:val="22"/>
                <w:szCs w:val="22"/>
              </w:rPr>
              <w:t>DEPARTAMENTO ADMINISTRATIVO</w:t>
            </w:r>
          </w:p>
        </w:tc>
      </w:tr>
      <w:tr w14:paraId="6173FE3A">
        <w:tblPrEx>
          <w:tblCellMar>
            <w:top w:w="55" w:type="dxa"/>
            <w:left w:w="55" w:type="dxa"/>
            <w:bottom w:w="55" w:type="dxa"/>
            <w:right w:w="55" w:type="dxa"/>
          </w:tblCellMar>
        </w:tblPrEx>
        <w:tc>
          <w:tcPr>
            <w:tcW w:w="2495" w:type="dxa"/>
            <w:tcBorders>
              <w:left w:val="single" w:color="000000" w:sz="0" w:space="0"/>
              <w:bottom w:val="single" w:color="000000" w:sz="0" w:space="0"/>
            </w:tcBorders>
            <w:shd w:val="clear" w:color="auto" w:fill="auto"/>
            <w:noWrap w:val="0"/>
            <w:vAlign w:val="top"/>
          </w:tcPr>
          <w:p w14:paraId="0D72BA02">
            <w:pPr>
              <w:pStyle w:val="218"/>
              <w:spacing w:line="100" w:lineRule="atLeast"/>
              <w:rPr>
                <w:sz w:val="22"/>
                <w:szCs w:val="22"/>
              </w:rPr>
            </w:pPr>
            <w:r>
              <w:rPr>
                <w:sz w:val="22"/>
                <w:szCs w:val="22"/>
              </w:rPr>
              <w:t>Unidade Executora</w:t>
            </w:r>
          </w:p>
        </w:tc>
        <w:tc>
          <w:tcPr>
            <w:tcW w:w="2322" w:type="dxa"/>
            <w:tcBorders>
              <w:left w:val="single" w:color="000000" w:sz="0" w:space="0"/>
              <w:bottom w:val="single" w:color="000000" w:sz="0" w:space="0"/>
            </w:tcBorders>
            <w:shd w:val="clear" w:color="auto" w:fill="auto"/>
            <w:noWrap w:val="0"/>
            <w:vAlign w:val="top"/>
          </w:tcPr>
          <w:p w14:paraId="74017408">
            <w:pPr>
              <w:pStyle w:val="218"/>
              <w:spacing w:line="100" w:lineRule="atLeast"/>
              <w:rPr>
                <w:sz w:val="22"/>
                <w:szCs w:val="22"/>
              </w:rPr>
            </w:pPr>
            <w:r>
              <w:rPr>
                <w:sz w:val="22"/>
                <w:szCs w:val="22"/>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7344D0C7">
            <w:pPr>
              <w:pStyle w:val="218"/>
              <w:spacing w:line="100" w:lineRule="atLeast"/>
              <w:rPr>
                <w:sz w:val="22"/>
                <w:szCs w:val="22"/>
              </w:rPr>
            </w:pPr>
            <w:r>
              <w:rPr>
                <w:sz w:val="22"/>
                <w:szCs w:val="22"/>
              </w:rPr>
              <w:t>DEPARTAMENTO ADMINISTRATIVO</w:t>
            </w:r>
          </w:p>
        </w:tc>
      </w:tr>
      <w:tr w14:paraId="40144A68">
        <w:tblPrEx>
          <w:tblCellMar>
            <w:top w:w="55" w:type="dxa"/>
            <w:left w:w="55" w:type="dxa"/>
            <w:bottom w:w="55" w:type="dxa"/>
            <w:right w:w="55" w:type="dxa"/>
          </w:tblCellMar>
        </w:tblPrEx>
        <w:tc>
          <w:tcPr>
            <w:tcW w:w="2495" w:type="dxa"/>
            <w:tcBorders>
              <w:left w:val="single" w:color="000000" w:sz="0" w:space="0"/>
              <w:bottom w:val="single" w:color="000000" w:sz="0" w:space="0"/>
            </w:tcBorders>
            <w:shd w:val="clear" w:color="auto" w:fill="auto"/>
            <w:noWrap w:val="0"/>
            <w:vAlign w:val="top"/>
          </w:tcPr>
          <w:p w14:paraId="180791DB">
            <w:pPr>
              <w:pStyle w:val="218"/>
              <w:spacing w:line="100" w:lineRule="atLeast"/>
              <w:rPr>
                <w:sz w:val="22"/>
                <w:szCs w:val="22"/>
              </w:rPr>
            </w:pPr>
            <w:r>
              <w:rPr>
                <w:sz w:val="22"/>
                <w:szCs w:val="22"/>
              </w:rPr>
              <w:t>Função programática</w:t>
            </w:r>
          </w:p>
        </w:tc>
        <w:tc>
          <w:tcPr>
            <w:tcW w:w="2322" w:type="dxa"/>
            <w:tcBorders>
              <w:left w:val="single" w:color="000000" w:sz="0" w:space="0"/>
              <w:bottom w:val="single" w:color="000000" w:sz="0" w:space="0"/>
            </w:tcBorders>
            <w:shd w:val="clear" w:color="auto" w:fill="auto"/>
            <w:noWrap w:val="0"/>
            <w:vAlign w:val="top"/>
          </w:tcPr>
          <w:p w14:paraId="05A163EF">
            <w:pPr>
              <w:pStyle w:val="218"/>
              <w:spacing w:line="100" w:lineRule="atLeast"/>
              <w:rPr>
                <w:sz w:val="22"/>
                <w:szCs w:val="22"/>
              </w:rPr>
            </w:pPr>
            <w:r>
              <w:rPr>
                <w:sz w:val="22"/>
                <w:szCs w:val="22"/>
              </w:rPr>
              <w:t>01.031.001-2.001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07087D92">
            <w:pPr>
              <w:pStyle w:val="218"/>
              <w:spacing w:line="100" w:lineRule="atLeast"/>
              <w:rPr>
                <w:sz w:val="22"/>
                <w:szCs w:val="22"/>
              </w:rPr>
            </w:pPr>
            <w:r>
              <w:rPr>
                <w:sz w:val="22"/>
                <w:szCs w:val="22"/>
              </w:rPr>
              <w:t>MANUTENÇÃO DEPARTAMENTO ADMINISTRATIVO DA CÂMARA MUNICIPAL</w:t>
            </w:r>
          </w:p>
        </w:tc>
      </w:tr>
      <w:tr w14:paraId="387AC38E">
        <w:tblPrEx>
          <w:tblCellMar>
            <w:top w:w="55" w:type="dxa"/>
            <w:left w:w="55" w:type="dxa"/>
            <w:bottom w:w="55" w:type="dxa"/>
            <w:right w:w="55" w:type="dxa"/>
          </w:tblCellMar>
        </w:tblPrEx>
        <w:tc>
          <w:tcPr>
            <w:tcW w:w="2495" w:type="dxa"/>
            <w:tcBorders>
              <w:left w:val="single" w:color="000000" w:sz="0" w:space="0"/>
              <w:bottom w:val="single" w:color="000000" w:sz="0" w:space="0"/>
            </w:tcBorders>
            <w:shd w:val="clear" w:color="auto" w:fill="auto"/>
            <w:noWrap w:val="0"/>
            <w:vAlign w:val="top"/>
          </w:tcPr>
          <w:p w14:paraId="75CD813A">
            <w:pPr>
              <w:pStyle w:val="218"/>
              <w:spacing w:line="100" w:lineRule="atLeast"/>
              <w:rPr>
                <w:sz w:val="22"/>
                <w:szCs w:val="22"/>
              </w:rPr>
            </w:pPr>
            <w:r>
              <w:rPr>
                <w:sz w:val="22"/>
                <w:szCs w:val="22"/>
              </w:rPr>
              <w:t>Elemento</w:t>
            </w:r>
          </w:p>
        </w:tc>
        <w:tc>
          <w:tcPr>
            <w:tcW w:w="2322" w:type="dxa"/>
            <w:tcBorders>
              <w:left w:val="single" w:color="000000" w:sz="0" w:space="0"/>
              <w:bottom w:val="single" w:color="000000" w:sz="0" w:space="0"/>
            </w:tcBorders>
            <w:shd w:val="clear" w:color="auto" w:fill="auto"/>
            <w:noWrap w:val="0"/>
            <w:vAlign w:val="top"/>
          </w:tcPr>
          <w:p w14:paraId="48B852A9">
            <w:pPr>
              <w:pStyle w:val="218"/>
              <w:spacing w:line="100" w:lineRule="atLeast"/>
              <w:rPr>
                <w:sz w:val="22"/>
                <w:szCs w:val="22"/>
              </w:rPr>
            </w:pPr>
            <w:r>
              <w:rPr>
                <w:sz w:val="22"/>
                <w:szCs w:val="22"/>
              </w:rPr>
              <w:t>00012.3.3.90.39.00-1500</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2C24A877">
            <w:pPr>
              <w:pStyle w:val="218"/>
              <w:spacing w:line="100" w:lineRule="atLeast"/>
              <w:rPr>
                <w:sz w:val="22"/>
                <w:szCs w:val="22"/>
              </w:rPr>
            </w:pPr>
            <w:r>
              <w:rPr>
                <w:sz w:val="22"/>
                <w:szCs w:val="22"/>
              </w:rPr>
              <w:t>OUTROS SERVIÇOS DE TERCEIRO – PESSOA JURÍDICA</w:t>
            </w:r>
          </w:p>
        </w:tc>
      </w:tr>
    </w:tbl>
    <w:p w14:paraId="39E43B8F">
      <w:pPr>
        <w:spacing w:line="100" w:lineRule="atLeast"/>
        <w:jc w:val="both"/>
        <w:rPr>
          <w:rFonts w:eastAsia="Times New Roman"/>
          <w:b/>
          <w:sz w:val="24"/>
          <w:szCs w:val="24"/>
          <w:lang w:eastAsia="en-US"/>
        </w:rPr>
      </w:pPr>
    </w:p>
    <w:tbl>
      <w:tblPr>
        <w:tblStyle w:val="14"/>
        <w:tblW w:w="0" w:type="auto"/>
        <w:tblInd w:w="55" w:type="dxa"/>
        <w:tblLayout w:type="fixed"/>
        <w:tblCellMar>
          <w:top w:w="55" w:type="dxa"/>
          <w:left w:w="55" w:type="dxa"/>
          <w:bottom w:w="55" w:type="dxa"/>
          <w:right w:w="55" w:type="dxa"/>
        </w:tblCellMar>
      </w:tblPr>
      <w:tblGrid>
        <w:gridCol w:w="2495"/>
        <w:gridCol w:w="2322"/>
        <w:gridCol w:w="4256"/>
      </w:tblGrid>
      <w:tr w14:paraId="1A64E8C2">
        <w:tblPrEx>
          <w:tblCellMar>
            <w:top w:w="55" w:type="dxa"/>
            <w:left w:w="55" w:type="dxa"/>
            <w:bottom w:w="55" w:type="dxa"/>
            <w:right w:w="55" w:type="dxa"/>
          </w:tblCellMar>
        </w:tblPrEx>
        <w:tc>
          <w:tcPr>
            <w:tcW w:w="2495" w:type="dxa"/>
            <w:tcBorders>
              <w:top w:val="single" w:color="000000" w:sz="0" w:space="0"/>
              <w:left w:val="single" w:color="000000" w:sz="0" w:space="0"/>
              <w:bottom w:val="single" w:color="000000" w:sz="0" w:space="0"/>
            </w:tcBorders>
            <w:shd w:val="clear" w:color="auto" w:fill="auto"/>
            <w:noWrap w:val="0"/>
            <w:vAlign w:val="top"/>
          </w:tcPr>
          <w:p w14:paraId="60856880">
            <w:pPr>
              <w:pStyle w:val="218"/>
              <w:spacing w:line="100" w:lineRule="atLeast"/>
              <w:rPr>
                <w:b/>
                <w:bCs/>
                <w:sz w:val="22"/>
                <w:szCs w:val="22"/>
              </w:rPr>
            </w:pPr>
            <w:r>
              <w:rPr>
                <w:b/>
                <w:bCs/>
                <w:sz w:val="22"/>
                <w:szCs w:val="22"/>
              </w:rPr>
              <w:t>Órgão</w:t>
            </w:r>
          </w:p>
        </w:tc>
        <w:tc>
          <w:tcPr>
            <w:tcW w:w="2322" w:type="dxa"/>
            <w:tcBorders>
              <w:top w:val="single" w:color="000000" w:sz="0" w:space="0"/>
              <w:left w:val="single" w:color="000000" w:sz="0" w:space="0"/>
              <w:bottom w:val="single" w:color="000000" w:sz="0" w:space="0"/>
            </w:tcBorders>
            <w:shd w:val="clear" w:color="auto" w:fill="auto"/>
            <w:noWrap w:val="0"/>
            <w:vAlign w:val="top"/>
          </w:tcPr>
          <w:p w14:paraId="39774914">
            <w:pPr>
              <w:pStyle w:val="218"/>
              <w:spacing w:line="100" w:lineRule="atLeast"/>
              <w:rPr>
                <w:b/>
                <w:bCs/>
                <w:sz w:val="22"/>
                <w:szCs w:val="22"/>
              </w:rPr>
            </w:pPr>
            <w:r>
              <w:rPr>
                <w:b/>
                <w:bCs/>
                <w:sz w:val="22"/>
                <w:szCs w:val="22"/>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14:paraId="58FA70C5">
            <w:pPr>
              <w:pStyle w:val="218"/>
              <w:spacing w:line="100" w:lineRule="atLeast"/>
              <w:rPr>
                <w:sz w:val="22"/>
                <w:szCs w:val="22"/>
              </w:rPr>
            </w:pPr>
            <w:r>
              <w:rPr>
                <w:b/>
                <w:bCs/>
                <w:sz w:val="22"/>
                <w:szCs w:val="22"/>
              </w:rPr>
              <w:t>CÂMARA MUNICIPAL</w:t>
            </w:r>
          </w:p>
        </w:tc>
      </w:tr>
      <w:tr w14:paraId="314A3A17">
        <w:tblPrEx>
          <w:tblCellMar>
            <w:top w:w="55" w:type="dxa"/>
            <w:left w:w="55" w:type="dxa"/>
            <w:bottom w:w="55" w:type="dxa"/>
            <w:right w:w="55" w:type="dxa"/>
          </w:tblCellMar>
        </w:tblPrEx>
        <w:tc>
          <w:tcPr>
            <w:tcW w:w="2495" w:type="dxa"/>
            <w:tcBorders>
              <w:left w:val="single" w:color="000000" w:sz="0" w:space="0"/>
              <w:bottom w:val="single" w:color="000000" w:sz="0" w:space="0"/>
            </w:tcBorders>
            <w:shd w:val="clear" w:color="auto" w:fill="auto"/>
            <w:noWrap w:val="0"/>
            <w:vAlign w:val="top"/>
          </w:tcPr>
          <w:p w14:paraId="617C2993">
            <w:pPr>
              <w:pStyle w:val="218"/>
              <w:spacing w:line="100" w:lineRule="atLeast"/>
              <w:rPr>
                <w:sz w:val="22"/>
                <w:szCs w:val="22"/>
              </w:rPr>
            </w:pPr>
            <w:r>
              <w:rPr>
                <w:sz w:val="22"/>
                <w:szCs w:val="22"/>
              </w:rPr>
              <w:t>Unidade Orçamentária</w:t>
            </w:r>
          </w:p>
        </w:tc>
        <w:tc>
          <w:tcPr>
            <w:tcW w:w="2322" w:type="dxa"/>
            <w:tcBorders>
              <w:left w:val="single" w:color="000000" w:sz="0" w:space="0"/>
              <w:bottom w:val="single" w:color="000000" w:sz="0" w:space="0"/>
            </w:tcBorders>
            <w:shd w:val="clear" w:color="auto" w:fill="auto"/>
            <w:noWrap w:val="0"/>
            <w:vAlign w:val="top"/>
          </w:tcPr>
          <w:p w14:paraId="013DAD31">
            <w:pPr>
              <w:pStyle w:val="218"/>
              <w:spacing w:line="100" w:lineRule="atLeast"/>
              <w:rPr>
                <w:sz w:val="22"/>
                <w:szCs w:val="22"/>
              </w:rPr>
            </w:pPr>
            <w:r>
              <w:rPr>
                <w:sz w:val="22"/>
                <w:szCs w:val="22"/>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46ADA2B3">
            <w:pPr>
              <w:pStyle w:val="218"/>
              <w:spacing w:line="100" w:lineRule="atLeast"/>
              <w:rPr>
                <w:sz w:val="22"/>
                <w:szCs w:val="22"/>
              </w:rPr>
            </w:pPr>
            <w:r>
              <w:rPr>
                <w:sz w:val="22"/>
                <w:szCs w:val="22"/>
              </w:rPr>
              <w:t>DEPARTAMENTO ADMINISTRATIVO</w:t>
            </w:r>
          </w:p>
        </w:tc>
      </w:tr>
      <w:tr w14:paraId="285CE6AA">
        <w:tblPrEx>
          <w:tblCellMar>
            <w:top w:w="55" w:type="dxa"/>
            <w:left w:w="55" w:type="dxa"/>
            <w:bottom w:w="55" w:type="dxa"/>
            <w:right w:w="55" w:type="dxa"/>
          </w:tblCellMar>
        </w:tblPrEx>
        <w:tc>
          <w:tcPr>
            <w:tcW w:w="2495" w:type="dxa"/>
            <w:tcBorders>
              <w:left w:val="single" w:color="000000" w:sz="0" w:space="0"/>
              <w:bottom w:val="single" w:color="000000" w:sz="0" w:space="0"/>
            </w:tcBorders>
            <w:shd w:val="clear" w:color="auto" w:fill="auto"/>
            <w:noWrap w:val="0"/>
            <w:vAlign w:val="top"/>
          </w:tcPr>
          <w:p w14:paraId="65F21A53">
            <w:pPr>
              <w:pStyle w:val="218"/>
              <w:spacing w:line="100" w:lineRule="atLeast"/>
              <w:rPr>
                <w:sz w:val="22"/>
                <w:szCs w:val="22"/>
              </w:rPr>
            </w:pPr>
            <w:r>
              <w:rPr>
                <w:sz w:val="22"/>
                <w:szCs w:val="22"/>
              </w:rPr>
              <w:t>Unidade Executora</w:t>
            </w:r>
          </w:p>
        </w:tc>
        <w:tc>
          <w:tcPr>
            <w:tcW w:w="2322" w:type="dxa"/>
            <w:tcBorders>
              <w:left w:val="single" w:color="000000" w:sz="0" w:space="0"/>
              <w:bottom w:val="single" w:color="000000" w:sz="0" w:space="0"/>
            </w:tcBorders>
            <w:shd w:val="clear" w:color="auto" w:fill="auto"/>
            <w:noWrap w:val="0"/>
            <w:vAlign w:val="top"/>
          </w:tcPr>
          <w:p w14:paraId="79E215B1">
            <w:pPr>
              <w:pStyle w:val="218"/>
              <w:spacing w:line="100" w:lineRule="atLeast"/>
              <w:rPr>
                <w:sz w:val="22"/>
                <w:szCs w:val="22"/>
              </w:rPr>
            </w:pPr>
            <w:r>
              <w:rPr>
                <w:sz w:val="22"/>
                <w:szCs w:val="22"/>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03553F04">
            <w:pPr>
              <w:pStyle w:val="218"/>
              <w:spacing w:line="100" w:lineRule="atLeast"/>
              <w:rPr>
                <w:sz w:val="22"/>
                <w:szCs w:val="22"/>
              </w:rPr>
            </w:pPr>
            <w:r>
              <w:rPr>
                <w:sz w:val="22"/>
                <w:szCs w:val="22"/>
              </w:rPr>
              <w:t>DEPARTAMENTO ADMINISTRATIVO</w:t>
            </w:r>
          </w:p>
        </w:tc>
      </w:tr>
      <w:tr w14:paraId="505B6EF2">
        <w:tblPrEx>
          <w:tblCellMar>
            <w:top w:w="55" w:type="dxa"/>
            <w:left w:w="55" w:type="dxa"/>
            <w:bottom w:w="55" w:type="dxa"/>
            <w:right w:w="55" w:type="dxa"/>
          </w:tblCellMar>
        </w:tblPrEx>
        <w:tc>
          <w:tcPr>
            <w:tcW w:w="2495" w:type="dxa"/>
            <w:tcBorders>
              <w:left w:val="single" w:color="000000" w:sz="0" w:space="0"/>
              <w:bottom w:val="single" w:color="000000" w:sz="0" w:space="0"/>
            </w:tcBorders>
            <w:shd w:val="clear" w:color="auto" w:fill="auto"/>
            <w:noWrap w:val="0"/>
            <w:vAlign w:val="top"/>
          </w:tcPr>
          <w:p w14:paraId="1A0DF508">
            <w:pPr>
              <w:pStyle w:val="218"/>
              <w:spacing w:line="100" w:lineRule="atLeast"/>
              <w:rPr>
                <w:sz w:val="22"/>
                <w:szCs w:val="22"/>
              </w:rPr>
            </w:pPr>
            <w:r>
              <w:rPr>
                <w:sz w:val="22"/>
                <w:szCs w:val="22"/>
              </w:rPr>
              <w:t>Função programática</w:t>
            </w:r>
          </w:p>
        </w:tc>
        <w:tc>
          <w:tcPr>
            <w:tcW w:w="2322" w:type="dxa"/>
            <w:tcBorders>
              <w:left w:val="single" w:color="000000" w:sz="0" w:space="0"/>
              <w:bottom w:val="single" w:color="000000" w:sz="0" w:space="0"/>
            </w:tcBorders>
            <w:shd w:val="clear" w:color="auto" w:fill="auto"/>
            <w:noWrap w:val="0"/>
            <w:vAlign w:val="top"/>
          </w:tcPr>
          <w:p w14:paraId="4B14DD56">
            <w:pPr>
              <w:pStyle w:val="218"/>
              <w:spacing w:line="100" w:lineRule="atLeast"/>
              <w:rPr>
                <w:sz w:val="22"/>
                <w:szCs w:val="22"/>
              </w:rPr>
            </w:pPr>
            <w:r>
              <w:rPr>
                <w:sz w:val="22"/>
                <w:szCs w:val="22"/>
              </w:rPr>
              <w:t>01.031.001-2.001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51B958E7">
            <w:pPr>
              <w:pStyle w:val="218"/>
              <w:spacing w:line="100" w:lineRule="atLeast"/>
              <w:rPr>
                <w:sz w:val="22"/>
                <w:szCs w:val="22"/>
              </w:rPr>
            </w:pPr>
            <w:r>
              <w:rPr>
                <w:sz w:val="22"/>
                <w:szCs w:val="22"/>
              </w:rPr>
              <w:t>MANUTENÇÃO DEPARTAMENTO ADMINISTRATIVO DA CÂMARA MUNICIPAL</w:t>
            </w:r>
          </w:p>
        </w:tc>
      </w:tr>
      <w:tr w14:paraId="19D2062B">
        <w:tblPrEx>
          <w:tblCellMar>
            <w:top w:w="55" w:type="dxa"/>
            <w:left w:w="55" w:type="dxa"/>
            <w:bottom w:w="55" w:type="dxa"/>
            <w:right w:w="55" w:type="dxa"/>
          </w:tblCellMar>
        </w:tblPrEx>
        <w:tc>
          <w:tcPr>
            <w:tcW w:w="2495" w:type="dxa"/>
            <w:tcBorders>
              <w:left w:val="single" w:color="000000" w:sz="0" w:space="0"/>
              <w:bottom w:val="single" w:color="000000" w:sz="0" w:space="0"/>
            </w:tcBorders>
            <w:shd w:val="clear" w:color="auto" w:fill="auto"/>
            <w:noWrap w:val="0"/>
            <w:vAlign w:val="top"/>
          </w:tcPr>
          <w:p w14:paraId="0B152C26">
            <w:pPr>
              <w:pStyle w:val="218"/>
              <w:spacing w:line="100" w:lineRule="atLeast"/>
              <w:rPr>
                <w:sz w:val="22"/>
                <w:szCs w:val="22"/>
              </w:rPr>
            </w:pPr>
            <w:r>
              <w:rPr>
                <w:sz w:val="22"/>
                <w:szCs w:val="22"/>
              </w:rPr>
              <w:t>Elemento</w:t>
            </w:r>
          </w:p>
        </w:tc>
        <w:tc>
          <w:tcPr>
            <w:tcW w:w="2322" w:type="dxa"/>
            <w:tcBorders>
              <w:left w:val="single" w:color="000000" w:sz="0" w:space="0"/>
              <w:bottom w:val="single" w:color="000000" w:sz="0" w:space="0"/>
            </w:tcBorders>
            <w:shd w:val="clear" w:color="auto" w:fill="auto"/>
            <w:noWrap w:val="0"/>
            <w:vAlign w:val="top"/>
          </w:tcPr>
          <w:p w14:paraId="33EF3121">
            <w:pPr>
              <w:pStyle w:val="218"/>
              <w:spacing w:line="100" w:lineRule="atLeast"/>
              <w:rPr>
                <w:sz w:val="22"/>
                <w:szCs w:val="22"/>
              </w:rPr>
            </w:pPr>
            <w:r>
              <w:rPr>
                <w:sz w:val="22"/>
                <w:szCs w:val="22"/>
              </w:rPr>
              <w:t>0009.3.3.90.30.00-1500</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6FBE8EC3">
            <w:pPr>
              <w:pStyle w:val="218"/>
              <w:spacing w:line="100" w:lineRule="atLeast"/>
              <w:rPr>
                <w:sz w:val="22"/>
                <w:szCs w:val="22"/>
              </w:rPr>
            </w:pPr>
            <w:r>
              <w:rPr>
                <w:sz w:val="22"/>
                <w:szCs w:val="22"/>
              </w:rPr>
              <w:t>MATERIAL DE CONSUMO</w:t>
            </w:r>
          </w:p>
        </w:tc>
      </w:tr>
    </w:tbl>
    <w:p w14:paraId="21301D7F">
      <w:pPr>
        <w:spacing w:line="100" w:lineRule="atLeast"/>
        <w:jc w:val="both"/>
        <w:rPr>
          <w:rFonts w:eastAsia="Times New Roman"/>
          <w:b/>
          <w:sz w:val="24"/>
          <w:szCs w:val="24"/>
          <w:lang w:eastAsia="en-US"/>
        </w:rPr>
      </w:pPr>
    </w:p>
    <w:p w14:paraId="71EBC52D">
      <w:pPr>
        <w:spacing w:line="240" w:lineRule="auto"/>
        <w:jc w:val="both"/>
        <w:rPr>
          <w:rStyle w:val="49"/>
          <w:rFonts w:eastAsia="Times New Roman"/>
          <w:b/>
          <w:sz w:val="22"/>
          <w:szCs w:val="22"/>
          <w:lang w:eastAsia="en-US"/>
        </w:rPr>
      </w:pPr>
      <w:r>
        <w:rPr>
          <w:rFonts w:eastAsia="Times New Roman"/>
          <w:b/>
          <w:sz w:val="22"/>
          <w:szCs w:val="22"/>
          <w:lang w:eastAsia="en-US"/>
        </w:rPr>
        <w:t>12. Da Fiscalização:</w:t>
      </w:r>
    </w:p>
    <w:p w14:paraId="58C8A0BB">
      <w:pPr>
        <w:spacing w:line="240" w:lineRule="auto"/>
        <w:jc w:val="both"/>
        <w:rPr>
          <w:rStyle w:val="49"/>
          <w:rFonts w:eastAsia="Times New Roman"/>
          <w:b/>
          <w:sz w:val="22"/>
          <w:szCs w:val="22"/>
          <w:lang w:eastAsia="en-US"/>
        </w:rPr>
      </w:pPr>
      <w:r>
        <w:rPr>
          <w:rStyle w:val="49"/>
          <w:rFonts w:eastAsia="Times New Roman"/>
          <w:b/>
          <w:sz w:val="22"/>
          <w:szCs w:val="22"/>
          <w:lang w:eastAsia="en-US"/>
        </w:rPr>
        <w:t>12.1</w:t>
      </w:r>
      <w:r>
        <w:rPr>
          <w:rStyle w:val="49"/>
          <w:rFonts w:eastAsia="Times New Roman"/>
          <w:sz w:val="22"/>
          <w:szCs w:val="22"/>
          <w:lang w:eastAsia="en-US"/>
        </w:rPr>
        <w:t>. A fiscalização será exercida por um representante da Câmara Municipal de Primavera do Leste, designado pelo Órgão, ao qual competirá dirimir as dúvidas que surgirem e de tudo dará ciência ao credenciante.</w:t>
      </w:r>
    </w:p>
    <w:p w14:paraId="32082695">
      <w:pPr>
        <w:spacing w:line="240" w:lineRule="auto"/>
        <w:jc w:val="both"/>
        <w:rPr>
          <w:rFonts w:eastAsia="Times New Roman"/>
          <w:b/>
          <w:sz w:val="22"/>
          <w:szCs w:val="22"/>
          <w:lang w:eastAsia="en-US"/>
        </w:rPr>
      </w:pPr>
      <w:r>
        <w:rPr>
          <w:rStyle w:val="49"/>
          <w:rFonts w:eastAsia="Times New Roman"/>
          <w:b/>
          <w:sz w:val="22"/>
          <w:szCs w:val="22"/>
          <w:lang w:eastAsia="en-US"/>
        </w:rPr>
        <w:t>12.2</w:t>
      </w:r>
      <w:r>
        <w:rPr>
          <w:rStyle w:val="49"/>
          <w:rFonts w:eastAsia="Times New Roman"/>
          <w:sz w:val="22"/>
          <w:szCs w:val="22"/>
          <w:lang w:eastAsia="en-US"/>
        </w:rPr>
        <w:t>. Tal Fiscalização não exclui nem reduz a responsabilidade da empresa vencedora, inclusive perante a terceiro, por qualquer irregularidade, resultante de imperfeições técnicas, vício redibitório, ou emprego de material inadequado ou de qualidade inferior e, na ocorrência desta, não implica corresponsabilidade da Câmara Municipal ou de seus agentes e prepostos.</w:t>
      </w:r>
    </w:p>
    <w:p w14:paraId="244ADA3B">
      <w:pPr>
        <w:spacing w:line="240" w:lineRule="auto"/>
        <w:jc w:val="both"/>
        <w:rPr>
          <w:rStyle w:val="49"/>
          <w:rFonts w:eastAsia="Times New Roman"/>
          <w:b/>
          <w:bCs/>
          <w:sz w:val="22"/>
          <w:szCs w:val="22"/>
          <w:lang w:eastAsia="en-US"/>
        </w:rPr>
      </w:pPr>
      <w:r>
        <w:rPr>
          <w:rFonts w:eastAsia="Times New Roman"/>
          <w:b/>
          <w:sz w:val="22"/>
          <w:szCs w:val="22"/>
          <w:lang w:eastAsia="en-US"/>
        </w:rPr>
        <w:t>13. Dos Casos Omissos:</w:t>
      </w:r>
    </w:p>
    <w:p w14:paraId="3848A88F">
      <w:pPr>
        <w:spacing w:line="240" w:lineRule="auto"/>
        <w:jc w:val="both"/>
        <w:rPr>
          <w:sz w:val="22"/>
          <w:szCs w:val="22"/>
        </w:rPr>
      </w:pPr>
      <w:r>
        <w:rPr>
          <w:rStyle w:val="49"/>
          <w:rFonts w:eastAsia="Times New Roman"/>
          <w:b/>
          <w:bCs/>
          <w:sz w:val="22"/>
          <w:szCs w:val="22"/>
          <w:lang w:eastAsia="en-US"/>
        </w:rPr>
        <w:t>13.1.</w:t>
      </w:r>
      <w:r>
        <w:rPr>
          <w:rStyle w:val="49"/>
          <w:rFonts w:eastAsia="Times New Roman"/>
          <w:sz w:val="22"/>
          <w:szCs w:val="22"/>
          <w:lang w:eastAsia="en-US"/>
        </w:rPr>
        <w:t xml:space="preserve"> Os casos omissos deverão ser dirimidos de acordo com a Lei 14.133/2021 (art 92, III).</w:t>
      </w:r>
    </w:p>
    <w:p w14:paraId="2F5C7DB3">
      <w:pPr>
        <w:spacing w:line="240" w:lineRule="auto"/>
        <w:jc w:val="both"/>
        <w:rPr>
          <w:rStyle w:val="49"/>
          <w:rFonts w:eastAsia="Times New Roman" w:cs="Times New Roman"/>
          <w:b/>
          <w:sz w:val="22"/>
          <w:szCs w:val="22"/>
          <w:lang w:eastAsia="en-US"/>
        </w:rPr>
      </w:pPr>
      <w:r>
        <w:rPr>
          <w:rFonts w:eastAsia="Times New Roman" w:cs="Times New Roman"/>
          <w:b/>
          <w:sz w:val="22"/>
          <w:szCs w:val="22"/>
          <w:lang w:eastAsia="en-US"/>
        </w:rPr>
        <w:t>14. Do Cancelamento da Ata de Registro de Preços:</w:t>
      </w:r>
    </w:p>
    <w:p w14:paraId="7C603300">
      <w:pPr>
        <w:spacing w:line="240" w:lineRule="auto"/>
        <w:jc w:val="both"/>
        <w:rPr>
          <w:rStyle w:val="49"/>
          <w:rFonts w:eastAsia="Times New Roman" w:cs="Times New Roman"/>
          <w:b/>
          <w:sz w:val="22"/>
          <w:szCs w:val="22"/>
          <w:lang w:eastAsia="en-US"/>
        </w:rPr>
      </w:pPr>
      <w:r>
        <w:rPr>
          <w:rStyle w:val="49"/>
          <w:rFonts w:eastAsia="Times New Roman" w:cs="Times New Roman"/>
          <w:b/>
          <w:sz w:val="22"/>
          <w:szCs w:val="22"/>
          <w:lang w:eastAsia="en-US"/>
        </w:rPr>
        <w:t>14.1.</w:t>
      </w:r>
      <w:r>
        <w:rPr>
          <w:rStyle w:val="49"/>
          <w:rFonts w:eastAsia="Times New Roman" w:cs="Times New Roman"/>
          <w:sz w:val="22"/>
          <w:szCs w:val="22"/>
          <w:lang w:eastAsia="en-US"/>
        </w:rPr>
        <w:t xml:space="preserve"> O preço registrado poderá ser cancelado nas seguintes hipóteses:</w:t>
      </w:r>
    </w:p>
    <w:p w14:paraId="06BB2D67">
      <w:pPr>
        <w:spacing w:line="240" w:lineRule="auto"/>
        <w:jc w:val="both"/>
        <w:rPr>
          <w:rStyle w:val="49"/>
          <w:rFonts w:eastAsia="Times New Roman" w:cs="Times New Roman"/>
          <w:b/>
          <w:sz w:val="22"/>
          <w:szCs w:val="22"/>
          <w:lang w:eastAsia="en-US"/>
        </w:rPr>
      </w:pPr>
      <w:r>
        <w:rPr>
          <w:rStyle w:val="49"/>
          <w:rFonts w:eastAsia="Times New Roman" w:cs="Times New Roman"/>
          <w:b/>
          <w:sz w:val="22"/>
          <w:szCs w:val="22"/>
          <w:lang w:eastAsia="en-US"/>
        </w:rPr>
        <w:t>14.1.1</w:t>
      </w:r>
      <w:r>
        <w:rPr>
          <w:rStyle w:val="49"/>
          <w:rFonts w:eastAsia="Times New Roman" w:cs="Times New Roman"/>
          <w:sz w:val="22"/>
          <w:szCs w:val="22"/>
          <w:lang w:eastAsia="en-US"/>
        </w:rPr>
        <w:t>. Pela Administração, no interesse público, ou quando o fornecedor:</w:t>
      </w:r>
    </w:p>
    <w:p w14:paraId="30482F9B">
      <w:pPr>
        <w:spacing w:line="240" w:lineRule="auto"/>
        <w:jc w:val="both"/>
        <w:rPr>
          <w:rStyle w:val="49"/>
          <w:rFonts w:eastAsia="Times New Roman" w:cs="Times New Roman"/>
          <w:b/>
          <w:sz w:val="22"/>
          <w:szCs w:val="22"/>
          <w:lang w:eastAsia="en-US"/>
        </w:rPr>
      </w:pPr>
      <w:r>
        <w:rPr>
          <w:rStyle w:val="49"/>
          <w:rFonts w:eastAsia="Times New Roman" w:cs="Times New Roman"/>
          <w:b/>
          <w:sz w:val="22"/>
          <w:szCs w:val="22"/>
          <w:lang w:eastAsia="en-US"/>
        </w:rPr>
        <w:t>14.1.2</w:t>
      </w:r>
      <w:r>
        <w:rPr>
          <w:rStyle w:val="49"/>
          <w:rFonts w:eastAsia="Times New Roman" w:cs="Times New Roman"/>
          <w:sz w:val="22"/>
          <w:szCs w:val="22"/>
          <w:lang w:eastAsia="en-US"/>
        </w:rPr>
        <w:t>. Não cumprir as exigências da Ata de Registro de Preços;</w:t>
      </w:r>
    </w:p>
    <w:p w14:paraId="63901CC5">
      <w:pPr>
        <w:spacing w:line="240" w:lineRule="auto"/>
        <w:jc w:val="both"/>
        <w:rPr>
          <w:rStyle w:val="49"/>
          <w:rFonts w:eastAsia="Times New Roman" w:cs="Times New Roman"/>
          <w:b/>
          <w:sz w:val="22"/>
          <w:szCs w:val="22"/>
          <w:lang w:eastAsia="en-US"/>
        </w:rPr>
      </w:pPr>
      <w:r>
        <w:rPr>
          <w:rStyle w:val="49"/>
          <w:rFonts w:eastAsia="Times New Roman" w:cs="Times New Roman"/>
          <w:b/>
          <w:sz w:val="22"/>
          <w:szCs w:val="22"/>
          <w:lang w:eastAsia="en-US"/>
        </w:rPr>
        <w:t>14.1.3</w:t>
      </w:r>
      <w:r>
        <w:rPr>
          <w:rStyle w:val="49"/>
          <w:rFonts w:eastAsia="Times New Roman" w:cs="Times New Roman"/>
          <w:sz w:val="22"/>
          <w:szCs w:val="22"/>
          <w:lang w:eastAsia="en-US"/>
        </w:rPr>
        <w:t>. Não formalizar Contrato ou documento equivalente (artigo 95, da Lei 14.133/21) decorrente do Registro de Preços ou não retirar o instrumento equivalente no prazo estabelecido, sem justificativa aceitável;</w:t>
      </w:r>
    </w:p>
    <w:p w14:paraId="65491048">
      <w:pPr>
        <w:spacing w:line="240" w:lineRule="auto"/>
        <w:jc w:val="both"/>
        <w:rPr>
          <w:rStyle w:val="49"/>
          <w:rFonts w:eastAsia="Times New Roman" w:cs="Times New Roman"/>
          <w:b/>
          <w:sz w:val="22"/>
          <w:szCs w:val="22"/>
          <w:lang w:eastAsia="en-US"/>
        </w:rPr>
      </w:pPr>
      <w:r>
        <w:rPr>
          <w:rStyle w:val="49"/>
          <w:rFonts w:eastAsia="Times New Roman" w:cs="Times New Roman"/>
          <w:b/>
          <w:sz w:val="22"/>
          <w:szCs w:val="22"/>
          <w:lang w:eastAsia="en-US"/>
        </w:rPr>
        <w:t>14.1.4</w:t>
      </w:r>
      <w:r>
        <w:rPr>
          <w:rStyle w:val="49"/>
          <w:rFonts w:eastAsia="Times New Roman" w:cs="Times New Roman"/>
          <w:sz w:val="22"/>
          <w:szCs w:val="22"/>
          <w:lang w:eastAsia="en-US"/>
        </w:rPr>
        <w:t>. Não aceitar reduzir o preço registrado, na hipótese de se tornar este superior aos praticados no mercado;</w:t>
      </w:r>
    </w:p>
    <w:p w14:paraId="75573C9E">
      <w:pPr>
        <w:spacing w:line="240" w:lineRule="auto"/>
        <w:jc w:val="both"/>
        <w:rPr>
          <w:rStyle w:val="49"/>
          <w:rFonts w:eastAsia="Times New Roman" w:cs="Times New Roman"/>
          <w:b/>
          <w:sz w:val="22"/>
          <w:szCs w:val="22"/>
          <w:lang w:eastAsia="en-US"/>
        </w:rPr>
      </w:pPr>
      <w:r>
        <w:rPr>
          <w:rStyle w:val="49"/>
          <w:rFonts w:eastAsia="Times New Roman" w:cs="Times New Roman"/>
          <w:b/>
          <w:sz w:val="22"/>
          <w:szCs w:val="22"/>
          <w:lang w:eastAsia="en-US"/>
        </w:rPr>
        <w:t>14.1.5</w:t>
      </w:r>
      <w:r>
        <w:rPr>
          <w:rStyle w:val="49"/>
          <w:rFonts w:eastAsia="Times New Roman" w:cs="Times New Roman"/>
          <w:sz w:val="22"/>
          <w:szCs w:val="22"/>
          <w:lang w:eastAsia="en-US"/>
        </w:rPr>
        <w:t>. Incorrer em inexecução total ou parcial do contrato ou documento equivalente (artigo 62, da Lei 14.133/21) decorrente do registro de preços;</w:t>
      </w:r>
    </w:p>
    <w:p w14:paraId="0D935510">
      <w:pPr>
        <w:spacing w:line="240" w:lineRule="auto"/>
        <w:jc w:val="both"/>
        <w:rPr>
          <w:rStyle w:val="49"/>
          <w:rFonts w:eastAsia="Times New Roman" w:cs="Times New Roman"/>
          <w:b/>
          <w:sz w:val="22"/>
          <w:szCs w:val="22"/>
          <w:lang w:eastAsia="en-US"/>
        </w:rPr>
      </w:pPr>
      <w:r>
        <w:rPr>
          <w:rStyle w:val="49"/>
          <w:rFonts w:eastAsia="Times New Roman" w:cs="Times New Roman"/>
          <w:b/>
          <w:sz w:val="22"/>
          <w:szCs w:val="22"/>
          <w:lang w:eastAsia="en-US"/>
        </w:rPr>
        <w:t>14.1.6</w:t>
      </w:r>
      <w:r>
        <w:rPr>
          <w:rStyle w:val="49"/>
          <w:rFonts w:eastAsia="Times New Roman" w:cs="Times New Roman"/>
          <w:sz w:val="22"/>
          <w:szCs w:val="22"/>
          <w:lang w:eastAsia="en-US"/>
        </w:rPr>
        <w:t>. O cancelamento do registro de preços por parte da Administração, assegurados a ampla defesa e o contraditório, será formalizado por decisão da autoridade competente.</w:t>
      </w:r>
    </w:p>
    <w:p w14:paraId="46DB595E">
      <w:pPr>
        <w:spacing w:line="240" w:lineRule="auto"/>
        <w:jc w:val="both"/>
        <w:rPr>
          <w:rStyle w:val="49"/>
          <w:rFonts w:eastAsia="Times New Roman" w:cs="Times New Roman"/>
          <w:b/>
          <w:sz w:val="22"/>
          <w:szCs w:val="22"/>
          <w:lang w:eastAsia="en-US"/>
        </w:rPr>
      </w:pPr>
      <w:r>
        <w:rPr>
          <w:rStyle w:val="49"/>
          <w:rFonts w:eastAsia="Times New Roman" w:cs="Times New Roman"/>
          <w:b/>
          <w:sz w:val="22"/>
          <w:szCs w:val="22"/>
          <w:lang w:eastAsia="en-US"/>
        </w:rPr>
        <w:t>14.1.7</w:t>
      </w:r>
      <w:r>
        <w:rPr>
          <w:rStyle w:val="49"/>
          <w:rFonts w:eastAsia="Times New Roman" w:cs="Times New Roman"/>
          <w:sz w:val="22"/>
          <w:szCs w:val="22"/>
          <w:lang w:eastAsia="en-US"/>
        </w:rPr>
        <w:t>. O cancelamento do registro não prejudica a possibilidade de aplicação de sanção administrativa, quando motivada pela ocorrência de infração cometida pelo particular, observados os critérios estabelecidos na cláusula décima primeira deste instrumento.</w:t>
      </w:r>
    </w:p>
    <w:p w14:paraId="0D913E50">
      <w:pPr>
        <w:spacing w:line="240" w:lineRule="auto"/>
        <w:jc w:val="both"/>
        <w:rPr>
          <w:rStyle w:val="49"/>
          <w:rFonts w:eastAsia="Times New Roman" w:cs="Times New Roman"/>
          <w:b/>
          <w:sz w:val="22"/>
          <w:szCs w:val="22"/>
          <w:lang w:eastAsia="en-US"/>
        </w:rPr>
      </w:pPr>
      <w:r>
        <w:rPr>
          <w:rStyle w:val="49"/>
          <w:rFonts w:eastAsia="Times New Roman" w:cs="Times New Roman"/>
          <w:b/>
          <w:sz w:val="22"/>
          <w:szCs w:val="22"/>
          <w:lang w:eastAsia="en-US"/>
        </w:rPr>
        <w:t>14.1.8</w:t>
      </w:r>
      <w:r>
        <w:rPr>
          <w:rStyle w:val="49"/>
          <w:rFonts w:eastAsia="Times New Roman" w:cs="Times New Roman"/>
          <w:sz w:val="22"/>
          <w:szCs w:val="22"/>
          <w:lang w:eastAsia="en-US"/>
        </w:rPr>
        <w:t>. Da decisão da autoridade competente se dará conhecimento aos licitantes, mediante o envio de correspondência, com aviso de recebimento</w:t>
      </w:r>
    </w:p>
    <w:p w14:paraId="74CB1B6D">
      <w:pPr>
        <w:spacing w:line="240" w:lineRule="auto"/>
        <w:jc w:val="both"/>
        <w:rPr>
          <w:rStyle w:val="49"/>
          <w:rFonts w:eastAsia="Times New Roman" w:cs="Times New Roman"/>
          <w:b/>
          <w:sz w:val="22"/>
          <w:szCs w:val="22"/>
          <w:lang w:eastAsia="en-US"/>
        </w:rPr>
      </w:pPr>
      <w:r>
        <w:rPr>
          <w:rStyle w:val="49"/>
          <w:rFonts w:eastAsia="Times New Roman" w:cs="Times New Roman"/>
          <w:b/>
          <w:sz w:val="22"/>
          <w:szCs w:val="22"/>
          <w:lang w:eastAsia="en-US"/>
        </w:rPr>
        <w:t>14.1.9</w:t>
      </w:r>
      <w:r>
        <w:rPr>
          <w:rStyle w:val="49"/>
          <w:rFonts w:eastAsia="Times New Roman" w:cs="Times New Roman"/>
          <w:sz w:val="22"/>
          <w:szCs w:val="22"/>
          <w:lang w:eastAsia="en-US"/>
        </w:rPr>
        <w:t>. No caso de ser ignorado, incerto ou inacessível o endereço do contratado, a comunicação será efetivada através de publicação na imprensa oficial, considerando-se cancelado o preço registrado, a contar do terceiro dia subsequente ao da publicação.</w:t>
      </w:r>
    </w:p>
    <w:p w14:paraId="2B1FE081">
      <w:pPr>
        <w:spacing w:line="240" w:lineRule="auto"/>
        <w:jc w:val="both"/>
        <w:rPr>
          <w:rFonts w:eastAsia="Times New Roman"/>
          <w:b/>
          <w:sz w:val="22"/>
          <w:szCs w:val="22"/>
          <w:lang w:eastAsia="en-US"/>
        </w:rPr>
      </w:pPr>
      <w:r>
        <w:rPr>
          <w:rStyle w:val="49"/>
          <w:rFonts w:eastAsia="Times New Roman" w:cs="Times New Roman"/>
          <w:b/>
          <w:sz w:val="22"/>
          <w:szCs w:val="22"/>
          <w:lang w:eastAsia="en-US"/>
        </w:rPr>
        <w:t>14.2</w:t>
      </w:r>
      <w:r>
        <w:rPr>
          <w:rStyle w:val="49"/>
          <w:rFonts w:eastAsia="Times New Roman" w:cs="Times New Roman"/>
          <w:sz w:val="22"/>
          <w:szCs w:val="22"/>
          <w:lang w:eastAsia="en-US"/>
        </w:rPr>
        <w:t>. A solicitação, pelo contratado, de cancelamento do preço registrado deverá ser formulada com antecedência mínima de 30 (trinta) dias, instruída com a comprovação dos fatos que justificam o pedido, para apreciação, avaliação e decisão da Administração.</w:t>
      </w:r>
    </w:p>
    <w:p w14:paraId="5F56ABE1">
      <w:pPr>
        <w:spacing w:line="240" w:lineRule="auto"/>
        <w:jc w:val="both"/>
        <w:rPr>
          <w:rStyle w:val="49"/>
          <w:rFonts w:eastAsia="Times New Roman"/>
          <w:b/>
          <w:sz w:val="22"/>
          <w:szCs w:val="22"/>
          <w:lang w:eastAsia="en-US"/>
        </w:rPr>
      </w:pPr>
      <w:r>
        <w:rPr>
          <w:rFonts w:eastAsia="Times New Roman"/>
          <w:b/>
          <w:sz w:val="22"/>
          <w:szCs w:val="22"/>
          <w:lang w:eastAsia="en-US"/>
        </w:rPr>
        <w:t>15. Das Sanções:</w:t>
      </w:r>
    </w:p>
    <w:p w14:paraId="43C53890">
      <w:pPr>
        <w:spacing w:line="240" w:lineRule="auto"/>
        <w:jc w:val="both"/>
        <w:rPr>
          <w:rStyle w:val="49"/>
          <w:rFonts w:eastAsia="Times New Roman"/>
          <w:b/>
          <w:sz w:val="22"/>
          <w:szCs w:val="22"/>
          <w:lang w:eastAsia="en-US"/>
        </w:rPr>
      </w:pPr>
      <w:r>
        <w:rPr>
          <w:rStyle w:val="49"/>
          <w:rFonts w:eastAsia="Times New Roman"/>
          <w:b/>
          <w:sz w:val="22"/>
          <w:szCs w:val="22"/>
          <w:lang w:eastAsia="en-US"/>
        </w:rPr>
        <w:t>15.1</w:t>
      </w:r>
      <w:r>
        <w:rPr>
          <w:rStyle w:val="49"/>
          <w:rFonts w:eastAsia="Times New Roman"/>
          <w:sz w:val="22"/>
          <w:szCs w:val="22"/>
          <w:lang w:eastAsia="en-US"/>
        </w:rPr>
        <w:t>. O descumprimento injustificado das obrigações assumidas neste Termo de Referência sujeita a adjudicada a multas, consoante o paragrafo único do art. 162 da Lei no 14.133/2021, incidentes sobre o valor da Nota de Empenho, na forma seguinte:</w:t>
      </w:r>
    </w:p>
    <w:p w14:paraId="4D85FC73">
      <w:pPr>
        <w:spacing w:line="240" w:lineRule="auto"/>
        <w:jc w:val="both"/>
        <w:rPr>
          <w:rStyle w:val="49"/>
          <w:rFonts w:eastAsia="Times New Roman"/>
          <w:b/>
          <w:sz w:val="22"/>
          <w:szCs w:val="22"/>
          <w:lang w:eastAsia="en-US"/>
        </w:rPr>
      </w:pPr>
      <w:r>
        <w:rPr>
          <w:rStyle w:val="49"/>
          <w:rFonts w:eastAsia="Times New Roman"/>
          <w:b/>
          <w:sz w:val="22"/>
          <w:szCs w:val="22"/>
          <w:lang w:eastAsia="en-US"/>
        </w:rPr>
        <w:t>15.1.1</w:t>
      </w:r>
      <w:r>
        <w:rPr>
          <w:rStyle w:val="49"/>
          <w:rFonts w:eastAsia="Times New Roman"/>
          <w:sz w:val="22"/>
          <w:szCs w:val="22"/>
          <w:lang w:eastAsia="en-US"/>
        </w:rPr>
        <w:t>. Atraso acima de 3 (três) dias para a entrega, multa de 1% (um por cento);</w:t>
      </w:r>
    </w:p>
    <w:p w14:paraId="5BE54537">
      <w:pPr>
        <w:spacing w:line="240" w:lineRule="auto"/>
        <w:jc w:val="both"/>
        <w:rPr>
          <w:rStyle w:val="49"/>
          <w:rFonts w:eastAsia="Times New Roman"/>
          <w:b/>
          <w:bCs/>
          <w:sz w:val="22"/>
          <w:szCs w:val="22"/>
          <w:lang w:eastAsia="en-US"/>
        </w:rPr>
      </w:pPr>
      <w:r>
        <w:rPr>
          <w:rStyle w:val="49"/>
          <w:rFonts w:eastAsia="Times New Roman"/>
          <w:b/>
          <w:sz w:val="22"/>
          <w:szCs w:val="22"/>
          <w:lang w:eastAsia="en-US"/>
        </w:rPr>
        <w:t>15.1.2</w:t>
      </w:r>
      <w:r>
        <w:rPr>
          <w:rStyle w:val="49"/>
          <w:rFonts w:eastAsia="Times New Roman"/>
          <w:sz w:val="22"/>
          <w:szCs w:val="22"/>
          <w:lang w:eastAsia="en-US"/>
        </w:rPr>
        <w:t>. A partir do 6º (sexto) até o limite do 10º (décimo) dia, multa de 4% (quatro por cento), caracterizando-se a inexecução total da obrigação a partir do 11º (décimo primeiro) dia de atraso.</w:t>
      </w:r>
    </w:p>
    <w:p w14:paraId="2B421724">
      <w:pPr>
        <w:spacing w:line="240" w:lineRule="auto"/>
        <w:jc w:val="both"/>
        <w:rPr>
          <w:rStyle w:val="49"/>
          <w:rFonts w:eastAsia="Times New Roman"/>
          <w:b/>
          <w:sz w:val="22"/>
          <w:szCs w:val="22"/>
          <w:lang w:eastAsia="en-US"/>
        </w:rPr>
      </w:pPr>
      <w:r>
        <w:rPr>
          <w:rStyle w:val="49"/>
          <w:rFonts w:eastAsia="Times New Roman"/>
          <w:b/>
          <w:bCs/>
          <w:sz w:val="22"/>
          <w:szCs w:val="22"/>
          <w:lang w:eastAsia="en-US"/>
        </w:rPr>
        <w:t>15.1.3.</w:t>
      </w:r>
      <w:r>
        <w:rPr>
          <w:rStyle w:val="49"/>
          <w:rFonts w:eastAsia="Times New Roman"/>
          <w:sz w:val="22"/>
          <w:szCs w:val="22"/>
          <w:lang w:eastAsia="en-US"/>
        </w:rPr>
        <w:t xml:space="preserve"> Sem prejuízo das sanções cominadas pela inexecução total ou parcial do objeto adjudicado, a Câmara Municipal Primavera do Leste poderá, garantida a prévia e ampla defesa, aplicar à Adjudicada multa de até 10% (dez por cento) sobre o valor homologado.</w:t>
      </w:r>
    </w:p>
    <w:p w14:paraId="50ABF232">
      <w:pPr>
        <w:spacing w:line="240" w:lineRule="auto"/>
        <w:jc w:val="both"/>
        <w:rPr>
          <w:rStyle w:val="49"/>
          <w:rFonts w:eastAsia="Times New Roman"/>
          <w:b/>
          <w:sz w:val="22"/>
          <w:szCs w:val="22"/>
          <w:lang w:eastAsia="en-US"/>
        </w:rPr>
      </w:pPr>
      <w:r>
        <w:rPr>
          <w:rStyle w:val="49"/>
          <w:rFonts w:eastAsia="Times New Roman"/>
          <w:b/>
          <w:sz w:val="22"/>
          <w:szCs w:val="22"/>
          <w:lang w:eastAsia="en-US"/>
        </w:rPr>
        <w:t>15.1.4</w:t>
      </w:r>
      <w:r>
        <w:rPr>
          <w:rStyle w:val="49"/>
          <w:rFonts w:eastAsia="Times New Roman"/>
          <w:sz w:val="22"/>
          <w:szCs w:val="22"/>
          <w:lang w:eastAsia="en-US"/>
        </w:rPr>
        <w:t>. Se a adjudicatária recusar-se a retirar a nota de empenho injustificadamente ou se não apresentar situação regular no ato da feitura da mesma, garantida prévia e ampla defesa, sujeita-se às seguintes penalidades:</w:t>
      </w:r>
    </w:p>
    <w:p w14:paraId="4576A6E8">
      <w:pPr>
        <w:spacing w:line="240" w:lineRule="auto"/>
        <w:jc w:val="both"/>
        <w:rPr>
          <w:rStyle w:val="49"/>
          <w:rFonts w:eastAsia="Times New Roman"/>
          <w:b/>
          <w:sz w:val="22"/>
          <w:szCs w:val="22"/>
          <w:lang w:eastAsia="en-US"/>
        </w:rPr>
      </w:pPr>
      <w:r>
        <w:rPr>
          <w:rStyle w:val="49"/>
          <w:rFonts w:eastAsia="Times New Roman"/>
          <w:b/>
          <w:sz w:val="22"/>
          <w:szCs w:val="22"/>
          <w:lang w:eastAsia="en-US"/>
        </w:rPr>
        <w:t>15.1.5</w:t>
      </w:r>
      <w:r>
        <w:rPr>
          <w:rStyle w:val="49"/>
          <w:rFonts w:eastAsia="Times New Roman"/>
          <w:sz w:val="22"/>
          <w:szCs w:val="22"/>
          <w:lang w:eastAsia="en-US"/>
        </w:rPr>
        <w:t>. Multa de até 10% sobre o homologado;</w:t>
      </w:r>
    </w:p>
    <w:p w14:paraId="7E6F0913">
      <w:pPr>
        <w:spacing w:line="240" w:lineRule="auto"/>
        <w:jc w:val="both"/>
        <w:rPr>
          <w:rStyle w:val="49"/>
          <w:rFonts w:eastAsia="Times New Roman"/>
          <w:b/>
          <w:sz w:val="22"/>
          <w:szCs w:val="22"/>
          <w:lang w:eastAsia="en-US"/>
        </w:rPr>
      </w:pPr>
      <w:r>
        <w:rPr>
          <w:rStyle w:val="49"/>
          <w:rFonts w:eastAsia="Times New Roman"/>
          <w:b/>
          <w:sz w:val="22"/>
          <w:szCs w:val="22"/>
          <w:lang w:eastAsia="en-US"/>
        </w:rPr>
        <w:t>15.1.6</w:t>
      </w:r>
      <w:r>
        <w:rPr>
          <w:rStyle w:val="49"/>
          <w:rFonts w:eastAsia="Times New Roman"/>
          <w:sz w:val="22"/>
          <w:szCs w:val="22"/>
          <w:lang w:eastAsia="en-US"/>
        </w:rPr>
        <w:t>. Suspensão temporária de participar de licitações e impedimento de contratar com a Administração Pública, por prazo de até 2 (dois) anos, e;</w:t>
      </w:r>
    </w:p>
    <w:p w14:paraId="4AF8B0D6">
      <w:pPr>
        <w:spacing w:line="240" w:lineRule="auto"/>
        <w:jc w:val="both"/>
        <w:rPr>
          <w:rStyle w:val="49"/>
          <w:rFonts w:eastAsia="Times New Roman"/>
          <w:b/>
          <w:bCs/>
          <w:sz w:val="22"/>
          <w:szCs w:val="22"/>
          <w:lang w:eastAsia="en-US"/>
        </w:rPr>
      </w:pPr>
      <w:r>
        <w:rPr>
          <w:rStyle w:val="49"/>
          <w:rFonts w:eastAsia="Times New Roman"/>
          <w:b/>
          <w:sz w:val="22"/>
          <w:szCs w:val="22"/>
          <w:lang w:eastAsia="en-US"/>
        </w:rPr>
        <w:t>15.1.7</w:t>
      </w:r>
      <w:r>
        <w:rPr>
          <w:rStyle w:val="49"/>
          <w:rFonts w:eastAsia="Times New Roman"/>
          <w:sz w:val="22"/>
          <w:szCs w:val="22"/>
          <w:lang w:eastAsia="en-US"/>
        </w:rPr>
        <w:t>. Declaração de inidoneidade para licitar ou contratar com a Administração Pública.</w:t>
      </w:r>
    </w:p>
    <w:p w14:paraId="686DD81E">
      <w:pPr>
        <w:spacing w:line="240" w:lineRule="auto"/>
        <w:jc w:val="both"/>
        <w:rPr>
          <w:rStyle w:val="49"/>
          <w:rFonts w:eastAsia="Times New Roman"/>
          <w:b/>
          <w:sz w:val="22"/>
          <w:szCs w:val="22"/>
          <w:lang w:eastAsia="en-US"/>
        </w:rPr>
      </w:pPr>
      <w:r>
        <w:rPr>
          <w:rStyle w:val="49"/>
          <w:rFonts w:eastAsia="Times New Roman"/>
          <w:b/>
          <w:bCs/>
          <w:sz w:val="22"/>
          <w:szCs w:val="22"/>
          <w:lang w:eastAsia="en-US"/>
        </w:rPr>
        <w:t>15.1.8</w:t>
      </w:r>
      <w:r>
        <w:rPr>
          <w:rStyle w:val="49"/>
          <w:rFonts w:eastAsia="Times New Roman"/>
          <w:sz w:val="22"/>
          <w:szCs w:val="22"/>
          <w:lang w:eastAsia="en-US"/>
        </w:rPr>
        <w:t xml:space="preserve"> A multa, eventualmente imposta à contratada, será automaticamente descontada da fatura a que fizer jus, acrescida de juros moratórios de 1% (um por cento) ao mês. Caso a contratada não tenha nenhum valor a receber desta Câmara Municipal, ser-lhe-á concedido o prazo de 5 (cinco) dias úteis, contados de sua intimação, para efetuar o pagamento da multa, defendo ser recolhida aos cofres do Município de Primavera do Leste- MT.</w:t>
      </w:r>
    </w:p>
    <w:p w14:paraId="5713DFD2">
      <w:pPr>
        <w:spacing w:line="240" w:lineRule="auto"/>
        <w:jc w:val="both"/>
        <w:rPr>
          <w:rStyle w:val="49"/>
          <w:rFonts w:eastAsia="Times New Roman"/>
          <w:b/>
          <w:sz w:val="22"/>
          <w:szCs w:val="22"/>
          <w:lang w:eastAsia="en-US"/>
        </w:rPr>
      </w:pPr>
      <w:r>
        <w:rPr>
          <w:rStyle w:val="49"/>
          <w:rFonts w:eastAsia="Times New Roman"/>
          <w:b/>
          <w:sz w:val="22"/>
          <w:szCs w:val="22"/>
          <w:lang w:eastAsia="en-US"/>
        </w:rPr>
        <w:t>15.1.9</w:t>
      </w:r>
      <w:r>
        <w:rPr>
          <w:rStyle w:val="49"/>
          <w:rFonts w:eastAsia="Times New Roman"/>
          <w:sz w:val="22"/>
          <w:szCs w:val="22"/>
          <w:lang w:eastAsia="en-US"/>
        </w:rPr>
        <w:t xml:space="preserve"> As multas previstas nesta Seção não eximem a adjudicatária da reparação dos eventuais danos, perdas ou prejuízos que seu ato punível venha causar a Câmara Municipal.</w:t>
      </w:r>
    </w:p>
    <w:p w14:paraId="04D018F9">
      <w:pPr>
        <w:spacing w:line="240" w:lineRule="auto"/>
        <w:jc w:val="both"/>
        <w:rPr>
          <w:rStyle w:val="49"/>
          <w:rFonts w:eastAsia="Times New Roman"/>
          <w:b/>
          <w:sz w:val="22"/>
          <w:szCs w:val="22"/>
          <w:lang w:eastAsia="en-US"/>
        </w:rPr>
      </w:pPr>
      <w:r>
        <w:rPr>
          <w:rStyle w:val="49"/>
          <w:rFonts w:eastAsia="Times New Roman"/>
          <w:b/>
          <w:sz w:val="22"/>
          <w:szCs w:val="22"/>
          <w:lang w:eastAsia="en-US"/>
        </w:rPr>
        <w:t>15.1.10</w:t>
      </w:r>
      <w:r>
        <w:rPr>
          <w:rStyle w:val="49"/>
          <w:rFonts w:eastAsia="Times New Roman"/>
          <w:sz w:val="22"/>
          <w:szCs w:val="22"/>
          <w:lang w:eastAsia="en-US"/>
        </w:rPr>
        <w:t xml:space="preserve"> O descumprimento injustificado das obrigações assumidas nos termos do presente Termo sujeita a Contratada a multas e alterações, incidentes sobre o valor da Nota de Empenho, na forma seguinte:</w:t>
      </w:r>
    </w:p>
    <w:p w14:paraId="481A0AC8">
      <w:pPr>
        <w:spacing w:line="240" w:lineRule="auto"/>
        <w:jc w:val="both"/>
        <w:rPr>
          <w:sz w:val="22"/>
          <w:szCs w:val="22"/>
        </w:rPr>
      </w:pPr>
      <w:r>
        <w:rPr>
          <w:rStyle w:val="49"/>
          <w:rFonts w:eastAsia="Times New Roman"/>
          <w:b/>
          <w:sz w:val="22"/>
          <w:szCs w:val="22"/>
          <w:lang w:eastAsia="en-US"/>
        </w:rPr>
        <w:t>15.1.11</w:t>
      </w:r>
      <w:r>
        <w:rPr>
          <w:rStyle w:val="49"/>
          <w:rFonts w:eastAsia="Times New Roman"/>
          <w:sz w:val="22"/>
          <w:szCs w:val="22"/>
          <w:lang w:eastAsia="en-US"/>
        </w:rPr>
        <w:t xml:space="preserve"> 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Estado pelo prazo de até 05 (cinco) anos, sem prejuízo da ação penal correspondente na forma da lei.</w:t>
      </w:r>
    </w:p>
    <w:p w14:paraId="1FB57AFD">
      <w:pPr>
        <w:spacing w:line="240" w:lineRule="auto"/>
        <w:jc w:val="both"/>
        <w:rPr>
          <w:rStyle w:val="49"/>
          <w:rFonts w:eastAsia="Times New Roman"/>
          <w:b w:val="0"/>
          <w:bCs w:val="0"/>
          <w:sz w:val="22"/>
          <w:szCs w:val="22"/>
          <w:lang w:eastAsia="en-US"/>
        </w:rPr>
      </w:pPr>
      <w:r>
        <w:rPr>
          <w:rStyle w:val="49"/>
          <w:rFonts w:eastAsia="Times New Roman"/>
          <w:b/>
          <w:bCs/>
          <w:sz w:val="22"/>
          <w:szCs w:val="22"/>
          <w:lang w:eastAsia="en-US"/>
        </w:rPr>
        <w:t>16. Da Visita Técnica</w:t>
      </w:r>
    </w:p>
    <w:p w14:paraId="1C5E0A6E">
      <w:pPr>
        <w:spacing w:line="240" w:lineRule="auto"/>
        <w:jc w:val="both"/>
        <w:rPr>
          <w:rFonts w:eastAsia="Arial Unicode MS" w:cs="Arial"/>
          <w:b/>
          <w:bCs/>
          <w:color w:val="000000"/>
          <w:sz w:val="22"/>
          <w:szCs w:val="22"/>
          <w:lang w:eastAsia="en-US"/>
        </w:rPr>
      </w:pPr>
      <w:r>
        <w:rPr>
          <w:rStyle w:val="49"/>
          <w:rFonts w:eastAsia="Times New Roman"/>
          <w:b/>
          <w:bCs/>
          <w:sz w:val="22"/>
          <w:szCs w:val="22"/>
          <w:lang w:eastAsia="en-US"/>
        </w:rPr>
        <w:t>16.1.</w:t>
      </w:r>
      <w:r>
        <w:rPr>
          <w:rStyle w:val="49"/>
          <w:rFonts w:eastAsia="Times New Roman"/>
          <w:b w:val="0"/>
          <w:bCs w:val="0"/>
          <w:sz w:val="22"/>
          <w:szCs w:val="22"/>
          <w:lang w:eastAsia="en-US"/>
        </w:rPr>
        <w:t xml:space="preserve"> 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 (art. 63, §2º, da Lei Federal nº 14.133, de 2021)</w:t>
      </w:r>
    </w:p>
    <w:p w14:paraId="5E531E4D">
      <w:pPr>
        <w:pStyle w:val="216"/>
        <w:widowControl w:val="0"/>
        <w:pBdr>
          <w:top w:val="none" w:color="auto" w:sz="0" w:space="0"/>
          <w:left w:val="none" w:color="auto" w:sz="0" w:space="0"/>
          <w:bottom w:val="none" w:color="auto" w:sz="0" w:space="0"/>
          <w:right w:val="none" w:color="auto" w:sz="0" w:space="0"/>
        </w:pBdr>
        <w:tabs>
          <w:tab w:val="left" w:pos="142"/>
        </w:tabs>
        <w:spacing w:before="0" w:after="120" w:line="100" w:lineRule="atLeast"/>
        <w:ind w:left="0" w:right="200" w:firstLine="0"/>
        <w:jc w:val="both"/>
        <w:textAlignment w:val="auto"/>
        <w:rPr>
          <w:rFonts w:eastAsia="Arial Unicode MS" w:cs="Arial"/>
          <w:b/>
          <w:bCs/>
          <w:color w:val="000000"/>
          <w:sz w:val="22"/>
          <w:szCs w:val="22"/>
          <w:lang w:eastAsia="en-US"/>
        </w:rPr>
      </w:pPr>
    </w:p>
    <w:p w14:paraId="30E661F7">
      <w:pPr>
        <w:pStyle w:val="216"/>
        <w:widowControl w:val="0"/>
        <w:pBdr>
          <w:top w:val="none" w:color="auto" w:sz="0" w:space="0"/>
          <w:left w:val="none" w:color="auto" w:sz="0" w:space="0"/>
          <w:bottom w:val="none" w:color="auto" w:sz="0" w:space="0"/>
          <w:right w:val="none" w:color="auto" w:sz="0" w:space="0"/>
        </w:pBdr>
        <w:tabs>
          <w:tab w:val="left" w:pos="142"/>
        </w:tabs>
        <w:spacing w:before="0" w:after="120" w:line="100" w:lineRule="atLeast"/>
        <w:ind w:left="0" w:right="200" w:firstLine="0"/>
        <w:jc w:val="right"/>
        <w:textAlignment w:val="auto"/>
        <w:rPr>
          <w:rFonts w:eastAsia="Arial Unicode MS" w:cs="Arial"/>
          <w:b/>
          <w:bCs/>
          <w:color w:val="000000"/>
          <w:sz w:val="22"/>
          <w:szCs w:val="22"/>
          <w:lang w:eastAsia="en-US"/>
        </w:rPr>
      </w:pPr>
    </w:p>
    <w:p w14:paraId="3BD63318">
      <w:pPr>
        <w:pStyle w:val="216"/>
        <w:widowControl w:val="0"/>
        <w:pBdr>
          <w:top w:val="none" w:color="auto" w:sz="0" w:space="0"/>
          <w:left w:val="none" w:color="auto" w:sz="0" w:space="0"/>
          <w:bottom w:val="none" w:color="auto" w:sz="0" w:space="0"/>
          <w:right w:val="none" w:color="auto" w:sz="0" w:space="0"/>
        </w:pBdr>
        <w:tabs>
          <w:tab w:val="left" w:pos="142"/>
        </w:tabs>
        <w:spacing w:before="0" w:after="120" w:line="100" w:lineRule="atLeast"/>
        <w:ind w:left="0" w:right="200" w:firstLine="0"/>
        <w:jc w:val="right"/>
        <w:textAlignment w:val="auto"/>
        <w:rPr>
          <w:rFonts w:eastAsia="Arial Unicode MS" w:cs="Arial"/>
          <w:color w:val="000000"/>
          <w:sz w:val="22"/>
          <w:szCs w:val="22"/>
          <w:lang w:eastAsia="en-US"/>
        </w:rPr>
      </w:pPr>
      <w:r>
        <w:rPr>
          <w:rFonts w:eastAsia="Arial Unicode MS" w:cs="Arial"/>
          <w:color w:val="000000"/>
          <w:sz w:val="22"/>
          <w:szCs w:val="22"/>
          <w:lang w:eastAsia="en-US"/>
        </w:rPr>
        <w:t xml:space="preserve">Primavera do Leste, 05 </w:t>
      </w:r>
      <w:r>
        <w:rPr>
          <w:rFonts w:eastAsia="Arial Unicode MS" w:cs="Arial"/>
          <w:color w:val="000000"/>
          <w:kern w:val="0"/>
          <w:sz w:val="22"/>
          <w:szCs w:val="22"/>
          <w:lang w:val="pt-BR" w:eastAsia="ar-SA" w:bidi="ar-SA"/>
        </w:rPr>
        <w:t xml:space="preserve">de julho </w:t>
      </w:r>
      <w:r>
        <w:rPr>
          <w:rFonts w:eastAsia="Arial Unicode MS" w:cs="Arial"/>
          <w:color w:val="000000"/>
          <w:sz w:val="22"/>
          <w:szCs w:val="22"/>
          <w:lang w:eastAsia="en-US"/>
        </w:rPr>
        <w:t>de 2024.</w:t>
      </w:r>
    </w:p>
    <w:p w14:paraId="38BB60E8">
      <w:pPr>
        <w:pStyle w:val="216"/>
        <w:widowControl w:val="0"/>
        <w:pBdr>
          <w:top w:val="none" w:color="auto" w:sz="0" w:space="0"/>
          <w:left w:val="none" w:color="auto" w:sz="0" w:space="0"/>
          <w:bottom w:val="none" w:color="auto" w:sz="0" w:space="0"/>
          <w:right w:val="none" w:color="auto" w:sz="0" w:space="0"/>
        </w:pBdr>
        <w:tabs>
          <w:tab w:val="left" w:pos="142"/>
        </w:tabs>
        <w:spacing w:before="0" w:after="120" w:line="100" w:lineRule="atLeast"/>
        <w:ind w:left="0" w:right="200" w:firstLine="0"/>
        <w:jc w:val="center"/>
        <w:textAlignment w:val="auto"/>
        <w:rPr>
          <w:rFonts w:eastAsia="Arial Unicode MS" w:cs="Arial"/>
          <w:color w:val="000000"/>
          <w:sz w:val="22"/>
          <w:szCs w:val="22"/>
          <w:lang w:eastAsia="en-US"/>
        </w:rPr>
      </w:pPr>
    </w:p>
    <w:p w14:paraId="7240711C">
      <w:pPr>
        <w:pStyle w:val="216"/>
        <w:widowControl w:val="0"/>
        <w:pBdr>
          <w:top w:val="none" w:color="auto" w:sz="0" w:space="0"/>
          <w:left w:val="none" w:color="auto" w:sz="0" w:space="0"/>
          <w:bottom w:val="none" w:color="auto" w:sz="0" w:space="0"/>
          <w:right w:val="none" w:color="auto" w:sz="0" w:space="0"/>
        </w:pBdr>
        <w:tabs>
          <w:tab w:val="left" w:pos="142"/>
        </w:tabs>
        <w:spacing w:before="0" w:after="120" w:line="100" w:lineRule="atLeast"/>
        <w:ind w:left="0" w:right="200" w:firstLine="0"/>
        <w:jc w:val="center"/>
        <w:textAlignment w:val="auto"/>
        <w:rPr>
          <w:rFonts w:eastAsia="Arial Unicode MS" w:cs="Arial"/>
          <w:color w:val="000000"/>
          <w:sz w:val="22"/>
          <w:szCs w:val="22"/>
          <w:lang w:eastAsia="en-US"/>
        </w:rPr>
      </w:pPr>
    </w:p>
    <w:p w14:paraId="2EF5AC72">
      <w:pPr>
        <w:pStyle w:val="216"/>
        <w:widowControl w:val="0"/>
        <w:pBdr>
          <w:top w:val="none" w:color="auto" w:sz="0" w:space="0"/>
          <w:left w:val="none" w:color="auto" w:sz="0" w:space="0"/>
          <w:bottom w:val="none" w:color="auto" w:sz="0" w:space="0"/>
          <w:right w:val="none" w:color="auto" w:sz="0" w:space="0"/>
        </w:pBdr>
        <w:tabs>
          <w:tab w:val="left" w:pos="142"/>
        </w:tabs>
        <w:spacing w:before="0" w:after="120" w:line="100" w:lineRule="atLeast"/>
        <w:ind w:left="0" w:right="200" w:firstLine="0"/>
        <w:jc w:val="center"/>
        <w:textAlignment w:val="auto"/>
        <w:rPr>
          <w:rFonts w:eastAsia="Arial Unicode MS" w:cs="Arial"/>
          <w:color w:val="000000"/>
          <w:sz w:val="22"/>
          <w:szCs w:val="22"/>
          <w:lang w:eastAsia="en-US"/>
        </w:rPr>
      </w:pPr>
    </w:p>
    <w:p w14:paraId="56D727E9">
      <w:pPr>
        <w:pStyle w:val="216"/>
        <w:widowControl w:val="0"/>
        <w:pBdr>
          <w:top w:val="none" w:color="auto" w:sz="0" w:space="0"/>
          <w:left w:val="none" w:color="auto" w:sz="0" w:space="0"/>
          <w:bottom w:val="none" w:color="auto" w:sz="0" w:space="0"/>
          <w:right w:val="none" w:color="auto" w:sz="0" w:space="0"/>
        </w:pBdr>
        <w:tabs>
          <w:tab w:val="left" w:pos="142"/>
        </w:tabs>
        <w:spacing w:before="0" w:after="120" w:line="100" w:lineRule="atLeast"/>
        <w:ind w:left="0" w:right="200" w:firstLine="0"/>
        <w:jc w:val="center"/>
        <w:textAlignment w:val="auto"/>
        <w:rPr>
          <w:rFonts w:eastAsia="Arial Unicode MS" w:cs="Arial"/>
          <w:color w:val="000000"/>
          <w:sz w:val="22"/>
          <w:szCs w:val="22"/>
          <w:lang w:eastAsia="en-US"/>
        </w:rPr>
      </w:pPr>
    </w:p>
    <w:p w14:paraId="7CD00F92">
      <w:pPr>
        <w:spacing w:line="100" w:lineRule="atLeast"/>
        <w:jc w:val="center"/>
        <w:rPr>
          <w:rFonts w:eastAsia="Times New Roman" w:cs="Times New Roman"/>
          <w:b/>
          <w:bCs/>
          <w:i w:val="0"/>
          <w:caps w:val="0"/>
          <w:smallCaps w:val="0"/>
          <w:color w:val="212529"/>
          <w:spacing w:val="0"/>
          <w:kern w:val="0"/>
          <w:sz w:val="22"/>
          <w:szCs w:val="22"/>
          <w:lang w:val="pt-BR" w:eastAsia="hi-IN" w:bidi="hi-IN"/>
        </w:rPr>
      </w:pPr>
    </w:p>
    <w:p w14:paraId="74AD150A">
      <w:pPr>
        <w:spacing w:line="100" w:lineRule="atLeast"/>
        <w:jc w:val="center"/>
        <w:rPr>
          <w:rFonts w:eastAsia="Times New Roman" w:cs="Times New Roman"/>
          <w:b/>
          <w:bCs/>
          <w:i w:val="0"/>
          <w:caps w:val="0"/>
          <w:smallCaps w:val="0"/>
          <w:color w:val="212529"/>
          <w:spacing w:val="0"/>
          <w:kern w:val="0"/>
          <w:sz w:val="22"/>
          <w:szCs w:val="22"/>
          <w:lang w:val="pt-BR" w:eastAsia="hi-IN" w:bidi="hi-IN"/>
        </w:rPr>
      </w:pPr>
    </w:p>
    <w:p w14:paraId="4A66AF9F">
      <w:pPr>
        <w:spacing w:line="100" w:lineRule="atLeast"/>
        <w:jc w:val="both"/>
        <w:rPr>
          <w:rFonts w:eastAsia="Times New Roman" w:cs="Times New Roman"/>
          <w:b/>
          <w:bCs/>
          <w:i w:val="0"/>
          <w:caps w:val="0"/>
          <w:smallCaps w:val="0"/>
          <w:color w:val="212529"/>
          <w:spacing w:val="0"/>
          <w:kern w:val="0"/>
          <w:sz w:val="22"/>
          <w:szCs w:val="22"/>
          <w:lang w:val="pt-BR" w:eastAsia="hi-IN" w:bidi="hi-IN"/>
        </w:rPr>
      </w:pPr>
    </w:p>
    <w:p w14:paraId="131D4F68">
      <w:pPr>
        <w:spacing w:line="100" w:lineRule="atLeast"/>
        <w:jc w:val="center"/>
        <w:rPr>
          <w:rFonts w:eastAsia="Times New Roman" w:cs="Times New Roman"/>
          <w:b/>
          <w:bCs/>
          <w:i w:val="0"/>
          <w:caps w:val="0"/>
          <w:smallCaps w:val="0"/>
          <w:color w:val="212529"/>
          <w:spacing w:val="0"/>
          <w:kern w:val="0"/>
          <w:sz w:val="22"/>
          <w:szCs w:val="22"/>
          <w:lang w:val="pt-BR" w:eastAsia="hi-IN" w:bidi="hi-IN"/>
        </w:rPr>
      </w:pPr>
    </w:p>
    <w:p w14:paraId="0533BEE7">
      <w:pPr>
        <w:jc w:val="center"/>
        <w:rPr>
          <w:rStyle w:val="49"/>
          <w:b/>
          <w:bCs/>
          <w:sz w:val="22"/>
          <w:szCs w:val="22"/>
        </w:rPr>
      </w:pPr>
      <w:r>
        <w:rPr>
          <w:sz w:val="22"/>
          <w:szCs w:val="22"/>
        </w:rPr>
        <w:t>________________________</w:t>
      </w:r>
    </w:p>
    <w:p w14:paraId="326FD5D4">
      <w:pPr>
        <w:jc w:val="center"/>
        <w:rPr>
          <w:rStyle w:val="49"/>
          <w:rFonts w:cs="Arial"/>
          <w:b/>
          <w:color w:val="000000"/>
          <w:kern w:val="0"/>
          <w:sz w:val="22"/>
          <w:szCs w:val="22"/>
          <w:lang w:val="pt-BR" w:eastAsia="ar-SA" w:bidi="ar-SA"/>
        </w:rPr>
      </w:pPr>
      <w:r>
        <w:rPr>
          <w:rStyle w:val="49"/>
          <w:b/>
          <w:bCs/>
          <w:sz w:val="22"/>
          <w:szCs w:val="22"/>
        </w:rPr>
        <w:t>EDSON DE OLIVEIRA CASTRO</w:t>
      </w:r>
    </w:p>
    <w:p w14:paraId="651B2B09">
      <w:pPr>
        <w:jc w:val="center"/>
        <w:rPr>
          <w:rStyle w:val="49"/>
          <w:rFonts w:cs="Arial"/>
          <w:b/>
          <w:color w:val="000000"/>
          <w:kern w:val="0"/>
          <w:sz w:val="22"/>
          <w:szCs w:val="22"/>
          <w:lang w:val="pt-BR" w:eastAsia="ar-SA" w:bidi="ar-SA"/>
        </w:rPr>
      </w:pPr>
      <w:r>
        <w:rPr>
          <w:rStyle w:val="49"/>
          <w:rFonts w:cs="Arial"/>
          <w:b/>
          <w:color w:val="000000"/>
          <w:kern w:val="0"/>
          <w:sz w:val="22"/>
          <w:szCs w:val="22"/>
          <w:lang w:val="pt-BR" w:eastAsia="ar-SA" w:bidi="ar-SA"/>
        </w:rPr>
        <w:t>Encarregado de Manutenção Portaria 189/2023</w:t>
      </w:r>
    </w:p>
    <w:p w14:paraId="57BBD7BB">
      <w:pPr>
        <w:jc w:val="center"/>
        <w:rPr>
          <w:rStyle w:val="49"/>
          <w:rFonts w:cs="Arial"/>
          <w:b/>
          <w:color w:val="000000"/>
          <w:kern w:val="0"/>
          <w:sz w:val="24"/>
          <w:szCs w:val="24"/>
          <w:lang w:val="pt-BR" w:eastAsia="ar-SA" w:bidi="ar-SA"/>
        </w:rPr>
      </w:pPr>
    </w:p>
    <w:p w14:paraId="0D3FA4E6">
      <w:pPr>
        <w:jc w:val="center"/>
        <w:rPr>
          <w:rStyle w:val="49"/>
          <w:rFonts w:cs="Arial"/>
          <w:b/>
          <w:color w:val="000000"/>
          <w:kern w:val="0"/>
          <w:sz w:val="24"/>
          <w:szCs w:val="24"/>
          <w:lang w:val="pt-BR" w:eastAsia="ar-SA" w:bidi="ar-SA"/>
        </w:rPr>
      </w:pPr>
    </w:p>
    <w:p w14:paraId="684F8048">
      <w:pPr>
        <w:jc w:val="center"/>
        <w:rPr>
          <w:rStyle w:val="49"/>
          <w:rFonts w:cs="Arial"/>
          <w:b/>
          <w:color w:val="000000"/>
          <w:kern w:val="0"/>
          <w:sz w:val="24"/>
          <w:szCs w:val="24"/>
          <w:lang w:val="pt-BR" w:eastAsia="ar-SA" w:bidi="ar-SA"/>
        </w:rPr>
      </w:pPr>
    </w:p>
    <w:p w14:paraId="17925516">
      <w:pPr>
        <w:jc w:val="center"/>
        <w:rPr>
          <w:rStyle w:val="49"/>
          <w:rFonts w:cs="Arial"/>
          <w:b/>
          <w:color w:val="000000"/>
          <w:kern w:val="0"/>
          <w:sz w:val="24"/>
          <w:szCs w:val="24"/>
          <w:lang w:val="pt-BR" w:eastAsia="ar-SA" w:bidi="ar-SA"/>
        </w:rPr>
      </w:pPr>
    </w:p>
    <w:p w14:paraId="75EA91AF">
      <w:pPr>
        <w:jc w:val="center"/>
        <w:rPr>
          <w:rStyle w:val="49"/>
          <w:rFonts w:cs="Arial"/>
          <w:b/>
          <w:color w:val="000000"/>
          <w:kern w:val="0"/>
          <w:sz w:val="24"/>
          <w:szCs w:val="24"/>
          <w:lang w:val="pt-BR" w:eastAsia="ar-SA" w:bidi="ar-SA"/>
        </w:rPr>
      </w:pPr>
    </w:p>
    <w:p w14:paraId="20721D90">
      <w:pPr>
        <w:jc w:val="center"/>
        <w:rPr>
          <w:rStyle w:val="49"/>
          <w:rFonts w:cs="Arial"/>
          <w:b/>
          <w:color w:val="000000"/>
          <w:kern w:val="0"/>
          <w:sz w:val="24"/>
          <w:szCs w:val="24"/>
          <w:lang w:val="pt-BR" w:eastAsia="ar-SA" w:bidi="ar-SA"/>
        </w:rPr>
      </w:pPr>
    </w:p>
    <w:p w14:paraId="37F9C8E9">
      <w:pPr>
        <w:pStyle w:val="182"/>
        <w:spacing w:line="100" w:lineRule="atLeast"/>
        <w:jc w:val="both"/>
        <w:rPr>
          <w:rFonts w:eastAsia="Times New Roman"/>
          <w:color w:val="000000"/>
          <w:sz w:val="22"/>
          <w:szCs w:val="22"/>
          <w:lang w:eastAsia="en-US"/>
        </w:rPr>
      </w:pPr>
    </w:p>
    <w:p w14:paraId="73BD23CA">
      <w:pPr>
        <w:pStyle w:val="2"/>
        <w:numPr>
          <w:ilvl w:val="0"/>
          <w:numId w:val="0"/>
        </w:numPr>
        <w:spacing w:before="0" w:after="120"/>
        <w:ind w:left="0" w:firstLine="0"/>
        <w:jc w:val="center"/>
        <w:rPr>
          <w:rFonts w:ascii="Times New Roman" w:hAnsi="Times New Roman"/>
          <w:sz w:val="21"/>
          <w:szCs w:val="21"/>
        </w:rPr>
      </w:pPr>
      <w:bookmarkStart w:id="64" w:name="_ANEXO_I_-_1"/>
      <w:bookmarkEnd w:id="64"/>
      <w:bookmarkStart w:id="65" w:name="_Toc149517467"/>
      <w:r>
        <w:t>A</w:t>
      </w:r>
      <w:r>
        <w:rPr>
          <w:sz w:val="21"/>
          <w:szCs w:val="21"/>
        </w:rPr>
        <w:t>NEXO II - MODELO DE DECLARAÇÕES</w:t>
      </w:r>
      <w:bookmarkEnd w:id="65"/>
    </w:p>
    <w:p w14:paraId="08107E7A">
      <w:pPr>
        <w:pStyle w:val="50"/>
        <w:tabs>
          <w:tab w:val="left" w:pos="1134"/>
        </w:tabs>
        <w:spacing w:before="120" w:beforeAutospacing="0" w:after="120" w:afterAutospacing="0"/>
        <w:jc w:val="center"/>
        <w:textAlignment w:val="baseline"/>
        <w:rPr>
          <w:rFonts w:ascii="Times New Roman" w:hAnsi="Times New Roman"/>
          <w:sz w:val="21"/>
          <w:szCs w:val="21"/>
        </w:rPr>
      </w:pPr>
    </w:p>
    <w:p w14:paraId="74C2C2D5">
      <w:pPr>
        <w:pStyle w:val="50"/>
        <w:tabs>
          <w:tab w:val="left" w:pos="1134"/>
        </w:tabs>
        <w:spacing w:before="120" w:beforeAutospacing="0" w:after="120" w:afterAutospacing="0"/>
        <w:jc w:val="center"/>
        <w:textAlignment w:val="baseline"/>
        <w:rPr>
          <w:rFonts w:ascii="Times New Roman" w:hAnsi="Times New Roman"/>
          <w:sz w:val="21"/>
          <w:szCs w:val="21"/>
        </w:rPr>
      </w:pPr>
      <w:r>
        <w:rPr>
          <w:sz w:val="21"/>
          <w:szCs w:val="21"/>
        </w:rPr>
        <w:t>(UTILIZAR PAPEL TIMBRADO DA EMPRESA)</w:t>
      </w:r>
    </w:p>
    <w:p w14:paraId="382154DC">
      <w:pPr>
        <w:pStyle w:val="50"/>
        <w:tabs>
          <w:tab w:val="left" w:pos="1134"/>
        </w:tabs>
        <w:spacing w:before="120" w:beforeAutospacing="0" w:after="120" w:afterAutospacing="0"/>
        <w:ind w:firstLine="567"/>
        <w:jc w:val="both"/>
        <w:textAlignment w:val="baseline"/>
        <w:rPr>
          <w:rFonts w:ascii="Times New Roman" w:hAnsi="Times New Roman"/>
          <w:sz w:val="21"/>
          <w:szCs w:val="21"/>
        </w:rPr>
      </w:pPr>
    </w:p>
    <w:p w14:paraId="3497DDCA">
      <w:pPr>
        <w:pStyle w:val="50"/>
        <w:tabs>
          <w:tab w:val="left" w:pos="1134"/>
        </w:tabs>
        <w:spacing w:before="120" w:beforeAutospacing="0" w:after="120" w:afterAutospacing="0"/>
        <w:ind w:firstLine="567"/>
        <w:jc w:val="both"/>
        <w:textAlignment w:val="baseline"/>
        <w:rPr>
          <w:rStyle w:val="53"/>
          <w:rFonts w:hint="default"/>
          <w:color w:val="000000" w:themeColor="text1"/>
          <w:sz w:val="21"/>
          <w:szCs w:val="21"/>
          <w:lang w:val="pt-BR"/>
          <w14:textFill>
            <w14:solidFill>
              <w14:schemeClr w14:val="tx1"/>
            </w14:solidFill>
          </w14:textFill>
        </w:rPr>
      </w:pPr>
      <w:r>
        <w:rPr>
          <w:sz w:val="21"/>
          <w:szCs w:val="21"/>
        </w:rPr>
        <w:t xml:space="preserve">A __________________________ (razão social da empresa), CNPJ nº ______________________, localizada à __________________, por seu representante legal abaixo-assinado, em cumprimento ao solicitado no </w:t>
      </w:r>
      <w:r>
        <w:rPr>
          <w:sz w:val="21"/>
          <w:szCs w:val="21"/>
          <w:lang w:val="pt-BR"/>
        </w:rPr>
        <w:t>Edital de Pregão Eletrônico nº 17/2024</w:t>
      </w:r>
      <w:r>
        <w:rPr>
          <w:rFonts w:hint="default"/>
          <w:sz w:val="21"/>
          <w:szCs w:val="21"/>
          <w:lang w:val="pt-BR"/>
        </w:rPr>
        <w:t>.</w:t>
      </w:r>
    </w:p>
    <w:p w14:paraId="39172104">
      <w:pPr>
        <w:pStyle w:val="50"/>
        <w:numPr>
          <w:ilvl w:val="2"/>
          <w:numId w:val="1"/>
        </w:numPr>
        <w:tabs>
          <w:tab w:val="left" w:pos="1134"/>
        </w:tabs>
        <w:spacing w:before="120" w:beforeAutospacing="0" w:after="0" w:afterAutospacing="0"/>
        <w:jc w:val="both"/>
        <w:textAlignment w:val="baseline"/>
        <w:rPr>
          <w:rFonts w:ascii="Times New Roman" w:hAnsi="Times New Roman"/>
          <w:sz w:val="21"/>
          <w:szCs w:val="21"/>
        </w:rPr>
      </w:pPr>
      <w:r>
        <w:rPr>
          <w:color w:val="000000"/>
          <w:sz w:val="21"/>
          <w:szCs w:val="21"/>
        </w:rPr>
        <w:t>está ciente e concorda com as condições contidas no Edital e seus anexos, bem como de que cumpre plenamente os requisitos de habilitação definidos no Edital;</w:t>
      </w:r>
    </w:p>
    <w:p w14:paraId="6C0C781C">
      <w:pPr>
        <w:pStyle w:val="50"/>
        <w:numPr>
          <w:ilvl w:val="2"/>
          <w:numId w:val="1"/>
        </w:numPr>
        <w:tabs>
          <w:tab w:val="left" w:pos="1134"/>
        </w:tabs>
        <w:spacing w:before="0" w:after="0"/>
        <w:jc w:val="both"/>
        <w:textAlignment w:val="baseline"/>
        <w:rPr>
          <w:rFonts w:ascii="Times New Roman" w:hAnsi="Times New Roman"/>
          <w:sz w:val="21"/>
          <w:szCs w:val="21"/>
        </w:rPr>
      </w:pPr>
      <w:r>
        <w:rPr>
          <w:color w:val="000000"/>
          <w:sz w:val="21"/>
          <w:szCs w:val="21"/>
        </w:rPr>
        <w:t>inexistem fatos impeditivos para sua habilitação no certame, ciente da obrigatoriedade de declarar ocorrências posteriores;</w:t>
      </w:r>
    </w:p>
    <w:p w14:paraId="355F5FE0">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 xml:space="preserve">não emprega menor de 18 anos em trabalho noturno, perigoso ou insalubre e não emprega menor de 16 anos, salvo menor, a partir de 14 anos, na condição de aprendiz, nos termos do </w:t>
      </w:r>
      <w:r>
        <w:rPr>
          <w:sz w:val="21"/>
          <w:szCs w:val="21"/>
        </w:rPr>
        <w:fldChar w:fldCharType="begin"/>
      </w:r>
      <w:r>
        <w:rPr>
          <w:rStyle w:val="62"/>
          <w:sz w:val="21"/>
          <w:szCs w:val="21"/>
        </w:rPr>
        <w:instrText xml:space="preserve"> HYPERLINK "https://www.planalto.gov.br/ccivil_03/constituicao/constituicao.htm" \l "art7"</w:instrText>
      </w:r>
      <w:r>
        <w:rPr>
          <w:rStyle w:val="62"/>
          <w:sz w:val="21"/>
          <w:szCs w:val="21"/>
        </w:rPr>
        <w:fldChar w:fldCharType="separate"/>
      </w:r>
      <w:r>
        <w:rPr>
          <w:rStyle w:val="62"/>
          <w:sz w:val="21"/>
          <w:szCs w:val="21"/>
        </w:rPr>
        <w:t>art. 7°, XXXIII, da Constituição Federal de 1988</w:t>
      </w:r>
      <w:r>
        <w:rPr>
          <w:rStyle w:val="62"/>
          <w:sz w:val="21"/>
          <w:szCs w:val="21"/>
        </w:rPr>
        <w:fldChar w:fldCharType="end"/>
      </w:r>
      <w:r>
        <w:rPr>
          <w:color w:val="000000"/>
          <w:sz w:val="21"/>
          <w:szCs w:val="21"/>
        </w:rPr>
        <w:t>;</w:t>
      </w:r>
    </w:p>
    <w:p w14:paraId="7C4A07E6">
      <w:pPr>
        <w:pStyle w:val="50"/>
        <w:numPr>
          <w:ilvl w:val="2"/>
          <w:numId w:val="1"/>
        </w:numPr>
        <w:tabs>
          <w:tab w:val="left" w:pos="1134"/>
        </w:tabs>
        <w:spacing w:before="0" w:beforeAutospacing="0" w:after="0" w:afterAutospacing="0"/>
        <w:jc w:val="both"/>
        <w:textAlignment w:val="baseline"/>
        <w:rPr>
          <w:sz w:val="21"/>
          <w:szCs w:val="21"/>
        </w:rPr>
      </w:pPr>
      <w:r>
        <w:rPr>
          <w:color w:val="000000"/>
          <w:sz w:val="21"/>
          <w:szCs w:val="21"/>
        </w:rPr>
        <w:t>não mantém vínculo de natureza técnica, comercial, econômica, financeira, trabalhista ou civil com dirigente da Câmara Municipal de Primavera do Leste - MT</w:t>
      </w:r>
      <w:r>
        <w:rPr>
          <w:sz w:val="21"/>
          <w:szCs w:val="21"/>
        </w:rPr>
        <w:t xml:space="preserve"> </w:t>
      </w:r>
      <w:r>
        <w:rPr>
          <w:color w:val="000000"/>
          <w:sz w:val="21"/>
          <w:szCs w:val="21"/>
        </w:rPr>
        <w:t>ou que deles seja cônjuge, companheiro ou parente em linha reta, colateral ou por afinidade, até o terceiro grau (</w:t>
      </w:r>
      <w:r>
        <w:rPr>
          <w:sz w:val="21"/>
          <w:szCs w:val="21"/>
        </w:rPr>
        <w:fldChar w:fldCharType="begin"/>
      </w:r>
      <w:r>
        <w:rPr>
          <w:rStyle w:val="62"/>
          <w:sz w:val="21"/>
          <w:szCs w:val="21"/>
        </w:rPr>
        <w:instrText xml:space="preserve"> HYPERLINK "https://www.planalto.gov.br/ccivil_03/_ato2019-2022/2021/lei/l14133.htm" \l "art14"</w:instrText>
      </w:r>
      <w:r>
        <w:rPr>
          <w:rStyle w:val="62"/>
          <w:sz w:val="21"/>
          <w:szCs w:val="21"/>
        </w:rPr>
        <w:fldChar w:fldCharType="separate"/>
      </w:r>
      <w:r>
        <w:rPr>
          <w:rStyle w:val="62"/>
          <w:sz w:val="21"/>
          <w:szCs w:val="21"/>
        </w:rPr>
        <w:t>art. 14, IV, da Lei Federal nº 14.133, de 2021</w:t>
      </w:r>
      <w:r>
        <w:rPr>
          <w:rStyle w:val="62"/>
          <w:sz w:val="21"/>
          <w:szCs w:val="21"/>
        </w:rPr>
        <w:fldChar w:fldCharType="end"/>
      </w:r>
      <w:r>
        <w:rPr>
          <w:color w:val="000000"/>
          <w:sz w:val="21"/>
          <w:szCs w:val="21"/>
        </w:rPr>
        <w:t>);</w:t>
      </w:r>
    </w:p>
    <w:p w14:paraId="0DE957B4">
      <w:pPr>
        <w:pStyle w:val="50"/>
        <w:numPr>
          <w:ilvl w:val="2"/>
          <w:numId w:val="1"/>
        </w:numPr>
        <w:tabs>
          <w:tab w:val="left" w:pos="1134"/>
        </w:tabs>
        <w:spacing w:before="0" w:beforeAutospacing="0" w:after="120" w:afterAutospacing="0"/>
        <w:jc w:val="both"/>
        <w:textAlignment w:val="baseline"/>
        <w:rPr>
          <w:sz w:val="21"/>
          <w:szCs w:val="21"/>
        </w:rPr>
      </w:pPr>
      <w:r>
        <w:rPr>
          <w:color w:val="000000"/>
          <w:sz w:val="21"/>
          <w:szCs w:val="21"/>
        </w:rPr>
        <w:t xml:space="preserve">cumpre as exigências de reserva de cargos para pessoa com deficiência e para reabilitado da Previdência Social, previstas em lei e em outras normas específicas, em especial no </w:t>
      </w:r>
      <w:r>
        <w:rPr>
          <w:sz w:val="21"/>
          <w:szCs w:val="21"/>
        </w:rPr>
        <w:fldChar w:fldCharType="begin"/>
      </w:r>
      <w:r>
        <w:rPr>
          <w:rStyle w:val="62"/>
          <w:sz w:val="21"/>
          <w:szCs w:val="21"/>
        </w:rPr>
        <w:instrText xml:space="preserve"> HYPERLINK "https://www.planalto.gov.br/ccivil_03/leis/l8213cons.htm" \l "art93"</w:instrText>
      </w:r>
      <w:r>
        <w:rPr>
          <w:rStyle w:val="62"/>
          <w:sz w:val="21"/>
          <w:szCs w:val="21"/>
        </w:rPr>
        <w:fldChar w:fldCharType="separate"/>
      </w:r>
      <w:r>
        <w:rPr>
          <w:rStyle w:val="62"/>
          <w:sz w:val="21"/>
          <w:szCs w:val="21"/>
        </w:rPr>
        <w:t>art. 93 da Lei Federal nº 8.213, de 1991</w:t>
      </w:r>
      <w:r>
        <w:rPr>
          <w:rStyle w:val="62"/>
          <w:sz w:val="21"/>
          <w:szCs w:val="21"/>
        </w:rPr>
        <w:fldChar w:fldCharType="end"/>
      </w:r>
      <w:r>
        <w:rPr>
          <w:color w:val="000000"/>
          <w:sz w:val="21"/>
          <w:szCs w:val="21"/>
        </w:rPr>
        <w:t xml:space="preserve"> (</w:t>
      </w:r>
      <w:r>
        <w:rPr>
          <w:sz w:val="21"/>
          <w:szCs w:val="21"/>
        </w:rPr>
        <w:fldChar w:fldCharType="begin"/>
      </w:r>
      <w:r>
        <w:rPr>
          <w:rStyle w:val="62"/>
          <w:sz w:val="21"/>
          <w:szCs w:val="21"/>
        </w:rPr>
        <w:instrText xml:space="preserve"> HYPERLINK "https://www.planalto.gov.br/ccivil_03/_ato2019-2022/2021/lei/l14133.htm" \l "art63"</w:instrText>
      </w:r>
      <w:r>
        <w:rPr>
          <w:rStyle w:val="62"/>
          <w:sz w:val="21"/>
          <w:szCs w:val="21"/>
        </w:rPr>
        <w:fldChar w:fldCharType="separate"/>
      </w:r>
      <w:r>
        <w:rPr>
          <w:rStyle w:val="62"/>
          <w:sz w:val="21"/>
          <w:szCs w:val="21"/>
        </w:rPr>
        <w:t>art. 63, IV, da Lei Federal nº 14.133, de 2021</w:t>
      </w:r>
      <w:r>
        <w:rPr>
          <w:rStyle w:val="62"/>
          <w:sz w:val="21"/>
          <w:szCs w:val="21"/>
        </w:rPr>
        <w:fldChar w:fldCharType="end"/>
      </w:r>
      <w:r>
        <w:rPr>
          <w:color w:val="000000"/>
          <w:sz w:val="21"/>
          <w:szCs w:val="21"/>
        </w:rPr>
        <w:t>).</w:t>
      </w:r>
    </w:p>
    <w:p w14:paraId="47953E7B">
      <w:pPr>
        <w:pStyle w:val="50"/>
        <w:tabs>
          <w:tab w:val="left" w:pos="1134"/>
        </w:tabs>
        <w:spacing w:before="120" w:beforeAutospacing="0" w:after="120" w:afterAutospacing="0"/>
        <w:ind w:firstLine="567"/>
        <w:jc w:val="both"/>
        <w:textAlignment w:val="baseline"/>
        <w:rPr>
          <w:rFonts w:ascii="Times New Roman" w:hAnsi="Times New Roman"/>
          <w:sz w:val="21"/>
          <w:szCs w:val="21"/>
        </w:rPr>
      </w:pPr>
    </w:p>
    <w:p w14:paraId="750C4F6C">
      <w:pPr>
        <w:pStyle w:val="50"/>
        <w:tabs>
          <w:tab w:val="left" w:pos="1134"/>
        </w:tabs>
        <w:spacing w:before="120" w:beforeAutospacing="0" w:after="120" w:afterAutospacing="0"/>
        <w:ind w:firstLine="567"/>
        <w:jc w:val="both"/>
        <w:textAlignment w:val="baseline"/>
        <w:rPr>
          <w:rFonts w:ascii="Times New Roman" w:hAnsi="Times New Roman"/>
          <w:sz w:val="21"/>
          <w:szCs w:val="21"/>
        </w:rPr>
      </w:pPr>
      <w:r>
        <w:rPr>
          <w:sz w:val="21"/>
          <w:szCs w:val="21"/>
        </w:rPr>
        <w:t>Local e data.</w:t>
      </w:r>
    </w:p>
    <w:p w14:paraId="79935388">
      <w:pPr>
        <w:pStyle w:val="50"/>
        <w:tabs>
          <w:tab w:val="left" w:pos="1134"/>
        </w:tabs>
        <w:spacing w:before="120" w:beforeAutospacing="0" w:after="120" w:afterAutospacing="0"/>
        <w:ind w:firstLine="567"/>
        <w:jc w:val="both"/>
        <w:textAlignment w:val="baseline"/>
        <w:rPr>
          <w:rFonts w:ascii="Times New Roman" w:hAnsi="Times New Roman"/>
          <w:sz w:val="21"/>
          <w:szCs w:val="21"/>
        </w:rPr>
      </w:pPr>
    </w:p>
    <w:p w14:paraId="3987FA0F">
      <w:pPr>
        <w:pStyle w:val="50"/>
        <w:tabs>
          <w:tab w:val="left" w:pos="1134"/>
        </w:tabs>
        <w:spacing w:before="120" w:beforeAutospacing="0" w:after="120" w:afterAutospacing="0"/>
        <w:jc w:val="center"/>
        <w:textAlignment w:val="baseline"/>
        <w:rPr>
          <w:rFonts w:ascii="Times New Roman" w:hAnsi="Times New Roman"/>
          <w:sz w:val="21"/>
          <w:szCs w:val="21"/>
        </w:rPr>
      </w:pPr>
      <w:r>
        <w:rPr>
          <w:sz w:val="21"/>
          <w:szCs w:val="21"/>
        </w:rPr>
        <w:t>___________________________________________________</w:t>
      </w:r>
    </w:p>
    <w:p w14:paraId="144AB295">
      <w:pPr>
        <w:pStyle w:val="50"/>
        <w:tabs>
          <w:tab w:val="left" w:pos="1134"/>
        </w:tabs>
        <w:spacing w:before="120" w:beforeAutospacing="0" w:after="120" w:afterAutospacing="0"/>
        <w:jc w:val="center"/>
        <w:textAlignment w:val="baseline"/>
        <w:rPr>
          <w:rFonts w:ascii="Times New Roman" w:hAnsi="Times New Roman"/>
          <w:sz w:val="21"/>
          <w:szCs w:val="21"/>
        </w:rPr>
      </w:pPr>
      <w:r>
        <w:rPr>
          <w:sz w:val="21"/>
          <w:szCs w:val="21"/>
        </w:rPr>
        <w:t>(assinatura e identificação do responsável pela empresa)</w:t>
      </w:r>
    </w:p>
    <w:p w14:paraId="0B1D2D9B">
      <w:pPr>
        <w:rPr>
          <w:rFonts w:ascii="Times New Roman" w:hAnsi="Times New Roman" w:eastAsia="Times New Roman" w:cs="Times New Roman"/>
          <w:sz w:val="21"/>
          <w:szCs w:val="21"/>
          <w:lang w:eastAsia="pt-BR"/>
        </w:rPr>
      </w:pPr>
      <w:r>
        <w:rPr>
          <w:sz w:val="21"/>
          <w:szCs w:val="21"/>
        </w:rPr>
        <w:br w:type="page"/>
      </w:r>
    </w:p>
    <w:p w14:paraId="3477CAB3">
      <w:pPr>
        <w:pStyle w:val="2"/>
        <w:numPr>
          <w:ilvl w:val="0"/>
          <w:numId w:val="0"/>
        </w:numPr>
        <w:spacing w:before="0" w:after="120"/>
        <w:ind w:left="0" w:firstLine="0"/>
        <w:jc w:val="center"/>
        <w:rPr>
          <w:rFonts w:ascii="Times New Roman" w:hAnsi="Times New Roman"/>
          <w:sz w:val="21"/>
          <w:szCs w:val="21"/>
        </w:rPr>
      </w:pPr>
      <w:bookmarkStart w:id="66" w:name="_Toc149517468"/>
      <w:r>
        <w:rPr>
          <w:sz w:val="21"/>
          <w:szCs w:val="21"/>
        </w:rPr>
        <w:t>ANEXO III - MODELO DE PROPOSTA</w:t>
      </w:r>
      <w:bookmarkEnd w:id="66"/>
    </w:p>
    <w:p w14:paraId="3E3657CE">
      <w:pPr>
        <w:pStyle w:val="50"/>
        <w:tabs>
          <w:tab w:val="left" w:pos="1134"/>
        </w:tabs>
        <w:spacing w:before="120" w:beforeAutospacing="0" w:after="120" w:afterAutospacing="0"/>
        <w:jc w:val="center"/>
        <w:textAlignment w:val="baseline"/>
        <w:rPr>
          <w:rFonts w:ascii="Times New Roman" w:hAnsi="Times New Roman"/>
          <w:sz w:val="21"/>
          <w:szCs w:val="21"/>
        </w:rPr>
      </w:pPr>
    </w:p>
    <w:p w14:paraId="1968685A">
      <w:pPr>
        <w:pStyle w:val="50"/>
        <w:tabs>
          <w:tab w:val="left" w:pos="1134"/>
        </w:tabs>
        <w:spacing w:before="120" w:beforeAutospacing="0" w:after="120" w:afterAutospacing="0"/>
        <w:jc w:val="center"/>
        <w:textAlignment w:val="baseline"/>
        <w:rPr>
          <w:rFonts w:ascii="Times New Roman" w:hAnsi="Times New Roman"/>
          <w:sz w:val="21"/>
          <w:szCs w:val="21"/>
        </w:rPr>
      </w:pPr>
      <w:r>
        <w:rPr>
          <w:sz w:val="21"/>
          <w:szCs w:val="21"/>
        </w:rPr>
        <w:t>(UTILIZAR PAPEL TIMBRADO DA EMPRESA)</w:t>
      </w:r>
    </w:p>
    <w:p w14:paraId="15B9F01F">
      <w:pPr>
        <w:spacing w:before="0" w:after="0" w:line="240" w:lineRule="auto"/>
        <w:jc w:val="both"/>
        <w:rPr>
          <w:rFonts w:ascii="Times New Roman" w:hAnsi="Times New Roman"/>
          <w:sz w:val="21"/>
          <w:szCs w:val="21"/>
        </w:rPr>
      </w:pPr>
      <w:r>
        <w:rPr>
          <w:rFonts w:ascii="Times New Roman" w:hAnsi="Times New Roman" w:cs="Times New Roman"/>
          <w:sz w:val="21"/>
          <w:szCs w:val="21"/>
        </w:rPr>
        <w:t>À</w:t>
      </w:r>
    </w:p>
    <w:p w14:paraId="42963D75">
      <w:pPr>
        <w:spacing w:before="0" w:after="0" w:line="240" w:lineRule="auto"/>
        <w:jc w:val="both"/>
        <w:rPr>
          <w:rFonts w:ascii="Times New Roman" w:hAnsi="Times New Roman"/>
          <w:sz w:val="21"/>
          <w:szCs w:val="21"/>
        </w:rPr>
      </w:pPr>
      <w:r>
        <w:rPr>
          <w:rFonts w:ascii="Times New Roman" w:hAnsi="Times New Roman" w:cs="Times New Roman"/>
          <w:b/>
          <w:bCs/>
          <w:sz w:val="21"/>
          <w:szCs w:val="21"/>
        </w:rPr>
        <w:t>Câmara Municipal de Primavera do Leste – MT</w:t>
      </w:r>
    </w:p>
    <w:p w14:paraId="22D03AC2">
      <w:pPr>
        <w:spacing w:before="0" w:after="0" w:line="240" w:lineRule="auto"/>
        <w:jc w:val="both"/>
        <w:rPr>
          <w:rFonts w:hint="default" w:ascii="Times New Roman" w:hAnsi="Times New Roman"/>
          <w:sz w:val="21"/>
          <w:szCs w:val="21"/>
          <w:lang w:val="pt-BR"/>
        </w:rPr>
      </w:pPr>
      <w:r>
        <w:rPr>
          <w:rFonts w:ascii="Times New Roman" w:hAnsi="Times New Roman" w:cs="Times New Roman"/>
          <w:sz w:val="21"/>
          <w:szCs w:val="21"/>
        </w:rPr>
        <w:t>A/C Pregoeiro do</w:t>
      </w:r>
      <w:r>
        <w:rPr>
          <w:rFonts w:hint="default" w:cs="Times New Roman"/>
          <w:sz w:val="21"/>
          <w:szCs w:val="21"/>
          <w:lang w:val="pt-BR"/>
        </w:rPr>
        <w:t xml:space="preserve"> </w:t>
      </w:r>
      <w:r>
        <w:rPr>
          <w:rFonts w:cs="Times New Roman"/>
          <w:sz w:val="21"/>
          <w:szCs w:val="21"/>
          <w:lang w:val="pt-BR"/>
        </w:rPr>
        <w:t>Pregão Eletrônico nº 17/2024</w:t>
      </w:r>
    </w:p>
    <w:p w14:paraId="24F33993">
      <w:pPr>
        <w:spacing w:before="0" w:after="0" w:line="240" w:lineRule="auto"/>
        <w:jc w:val="both"/>
        <w:rPr>
          <w:rFonts w:ascii="Times New Roman" w:hAnsi="Times New Roman"/>
          <w:sz w:val="21"/>
          <w:szCs w:val="21"/>
        </w:rPr>
      </w:pPr>
      <w:r>
        <w:rPr>
          <w:rFonts w:ascii="Times New Roman" w:hAnsi="Times New Roman" w:cs="Times New Roman"/>
          <w:sz w:val="21"/>
          <w:szCs w:val="21"/>
        </w:rPr>
        <w:t>Primavera do Leste - Mato Grosso.</w:t>
      </w:r>
    </w:p>
    <w:p w14:paraId="63AEBD94">
      <w:pPr>
        <w:spacing w:before="0" w:after="0" w:line="240" w:lineRule="auto"/>
        <w:jc w:val="both"/>
        <w:rPr>
          <w:rFonts w:ascii="Times New Roman" w:hAnsi="Times New Roman" w:cs="Times New Roman"/>
          <w:sz w:val="21"/>
          <w:szCs w:val="21"/>
        </w:rPr>
      </w:pPr>
    </w:p>
    <w:p w14:paraId="0D67B504">
      <w:pPr>
        <w:jc w:val="center"/>
        <w:rPr>
          <w:rFonts w:ascii="Times New Roman" w:hAnsi="Times New Roman"/>
          <w:sz w:val="21"/>
          <w:szCs w:val="21"/>
        </w:rPr>
      </w:pPr>
      <w:r>
        <w:rPr>
          <w:rFonts w:ascii="Times New Roman" w:hAnsi="Times New Roman" w:cs="Times New Roman"/>
          <w:b/>
          <w:bCs/>
          <w:sz w:val="21"/>
          <w:szCs w:val="21"/>
          <w:u w:val="single"/>
        </w:rPr>
        <w:t>PROPOSTA</w:t>
      </w:r>
    </w:p>
    <w:p w14:paraId="1B4CB93E">
      <w:pPr>
        <w:spacing w:before="0" w:after="0" w:line="240" w:lineRule="auto"/>
        <w:ind w:firstLine="2268"/>
        <w:jc w:val="both"/>
        <w:rPr>
          <w:rFonts w:ascii="Times New Roman" w:hAnsi="Times New Roman"/>
          <w:sz w:val="21"/>
          <w:szCs w:val="21"/>
        </w:rPr>
      </w:pPr>
      <w:r>
        <w:rPr>
          <w:rFonts w:ascii="Times New Roman" w:hAnsi="Times New Roman" w:cs="Times New Roman"/>
          <w:sz w:val="21"/>
          <w:szCs w:val="21"/>
        </w:rPr>
        <w:t>O proponente a seguir identificado:</w:t>
      </w:r>
    </w:p>
    <w:tbl>
      <w:tblPr>
        <w:tblStyle w:val="47"/>
        <w:tblW w:w="8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6"/>
        <w:gridCol w:w="1488"/>
        <w:gridCol w:w="1485"/>
        <w:gridCol w:w="2972"/>
      </w:tblGrid>
      <w:tr w14:paraId="6199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1" w:type="dxa"/>
            <w:gridSpan w:val="4"/>
          </w:tcPr>
          <w:p w14:paraId="4509F953">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Razão Social:</w:t>
            </w:r>
          </w:p>
          <w:p w14:paraId="244E5B3B">
            <w:pPr>
              <w:widowControl/>
              <w:suppressAutoHyphens/>
              <w:spacing w:before="0" w:after="0" w:line="240" w:lineRule="auto"/>
              <w:jc w:val="both"/>
              <w:rPr>
                <w:rFonts w:ascii="Times New Roman" w:hAnsi="Times New Roman" w:cs="Times New Roman"/>
                <w:sz w:val="21"/>
                <w:szCs w:val="21"/>
              </w:rPr>
            </w:pPr>
          </w:p>
        </w:tc>
      </w:tr>
      <w:tr w14:paraId="773B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14:paraId="06575CA5">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CNPJ:</w:t>
            </w:r>
          </w:p>
          <w:p w14:paraId="0F1501F2">
            <w:pPr>
              <w:widowControl/>
              <w:suppressAutoHyphens/>
              <w:spacing w:before="0" w:after="0" w:line="240" w:lineRule="auto"/>
              <w:jc w:val="both"/>
              <w:rPr>
                <w:rFonts w:ascii="Times New Roman" w:hAnsi="Times New Roman" w:cs="Times New Roman"/>
                <w:sz w:val="21"/>
                <w:szCs w:val="21"/>
              </w:rPr>
            </w:pPr>
          </w:p>
        </w:tc>
        <w:tc>
          <w:tcPr>
            <w:tcW w:w="5945" w:type="dxa"/>
            <w:gridSpan w:val="3"/>
          </w:tcPr>
          <w:p w14:paraId="23511ADD">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Nome Fantasia:</w:t>
            </w:r>
          </w:p>
          <w:p w14:paraId="55754AEE">
            <w:pPr>
              <w:widowControl/>
              <w:suppressAutoHyphens/>
              <w:spacing w:before="0" w:after="0" w:line="240" w:lineRule="auto"/>
              <w:jc w:val="both"/>
              <w:rPr>
                <w:rFonts w:ascii="Times New Roman" w:hAnsi="Times New Roman" w:cs="Times New Roman"/>
                <w:sz w:val="21"/>
                <w:szCs w:val="21"/>
              </w:rPr>
            </w:pPr>
          </w:p>
        </w:tc>
      </w:tr>
      <w:tr w14:paraId="1539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14:paraId="3CBF928D">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Logradouro:</w:t>
            </w:r>
          </w:p>
          <w:p w14:paraId="6692CF72">
            <w:pPr>
              <w:widowControl/>
              <w:suppressAutoHyphens/>
              <w:spacing w:before="0" w:after="0" w:line="240" w:lineRule="auto"/>
              <w:jc w:val="both"/>
              <w:rPr>
                <w:rFonts w:ascii="Times New Roman" w:hAnsi="Times New Roman" w:cs="Times New Roman"/>
                <w:sz w:val="21"/>
                <w:szCs w:val="21"/>
              </w:rPr>
            </w:pPr>
          </w:p>
        </w:tc>
        <w:tc>
          <w:tcPr>
            <w:tcW w:w="2972" w:type="dxa"/>
          </w:tcPr>
          <w:p w14:paraId="457C1B56">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Número:</w:t>
            </w:r>
          </w:p>
          <w:p w14:paraId="2DE379DC">
            <w:pPr>
              <w:widowControl/>
              <w:suppressAutoHyphens/>
              <w:spacing w:before="0" w:after="0" w:line="240" w:lineRule="auto"/>
              <w:jc w:val="both"/>
              <w:rPr>
                <w:rFonts w:ascii="Times New Roman" w:hAnsi="Times New Roman" w:cs="Times New Roman"/>
                <w:sz w:val="21"/>
                <w:szCs w:val="21"/>
              </w:rPr>
            </w:pPr>
          </w:p>
        </w:tc>
      </w:tr>
      <w:tr w14:paraId="5E8E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4" w:type="dxa"/>
            <w:gridSpan w:val="2"/>
          </w:tcPr>
          <w:p w14:paraId="02CB2221">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Complemento:</w:t>
            </w:r>
          </w:p>
          <w:p w14:paraId="5C5AE3C5">
            <w:pPr>
              <w:widowControl/>
              <w:suppressAutoHyphens/>
              <w:spacing w:before="0" w:after="0" w:line="240" w:lineRule="auto"/>
              <w:jc w:val="both"/>
              <w:rPr>
                <w:rFonts w:ascii="Times New Roman" w:hAnsi="Times New Roman" w:cs="Times New Roman"/>
                <w:sz w:val="21"/>
                <w:szCs w:val="21"/>
              </w:rPr>
            </w:pPr>
          </w:p>
        </w:tc>
        <w:tc>
          <w:tcPr>
            <w:tcW w:w="4457" w:type="dxa"/>
            <w:gridSpan w:val="2"/>
          </w:tcPr>
          <w:p w14:paraId="0600A01C">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Bairro:</w:t>
            </w:r>
          </w:p>
          <w:p w14:paraId="03AFE9C8">
            <w:pPr>
              <w:widowControl/>
              <w:suppressAutoHyphens/>
              <w:spacing w:before="0" w:after="0" w:line="240" w:lineRule="auto"/>
              <w:jc w:val="both"/>
              <w:rPr>
                <w:rFonts w:ascii="Times New Roman" w:hAnsi="Times New Roman" w:cs="Times New Roman"/>
                <w:sz w:val="21"/>
                <w:szCs w:val="21"/>
              </w:rPr>
            </w:pPr>
          </w:p>
        </w:tc>
      </w:tr>
      <w:tr w14:paraId="22D9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14:paraId="5C3ABB9E">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Cidade:</w:t>
            </w:r>
          </w:p>
          <w:p w14:paraId="26FD2476">
            <w:pPr>
              <w:widowControl/>
              <w:suppressAutoHyphens/>
              <w:spacing w:before="0" w:after="0" w:line="240" w:lineRule="auto"/>
              <w:jc w:val="both"/>
              <w:rPr>
                <w:rFonts w:ascii="Times New Roman" w:hAnsi="Times New Roman" w:cs="Times New Roman"/>
                <w:sz w:val="21"/>
                <w:szCs w:val="21"/>
              </w:rPr>
            </w:pPr>
          </w:p>
        </w:tc>
        <w:tc>
          <w:tcPr>
            <w:tcW w:w="2972" w:type="dxa"/>
          </w:tcPr>
          <w:p w14:paraId="6F7D0D14">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CEP:</w:t>
            </w:r>
          </w:p>
          <w:p w14:paraId="181EB027">
            <w:pPr>
              <w:widowControl/>
              <w:suppressAutoHyphens/>
              <w:spacing w:before="0" w:after="0" w:line="240" w:lineRule="auto"/>
              <w:jc w:val="both"/>
              <w:rPr>
                <w:rFonts w:ascii="Times New Roman" w:hAnsi="Times New Roman" w:cs="Times New Roman"/>
                <w:sz w:val="21"/>
                <w:szCs w:val="21"/>
              </w:rPr>
            </w:pPr>
          </w:p>
        </w:tc>
      </w:tr>
      <w:tr w14:paraId="51A4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14:paraId="0DA3ACBF">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Telefone Fixo:</w:t>
            </w:r>
          </w:p>
          <w:p w14:paraId="562BF2E0">
            <w:pPr>
              <w:widowControl/>
              <w:suppressAutoHyphens/>
              <w:spacing w:before="0" w:after="0" w:line="240" w:lineRule="auto"/>
              <w:jc w:val="both"/>
              <w:rPr>
                <w:rFonts w:ascii="Times New Roman" w:hAnsi="Times New Roman" w:cs="Times New Roman"/>
                <w:sz w:val="21"/>
                <w:szCs w:val="21"/>
              </w:rPr>
            </w:pPr>
          </w:p>
        </w:tc>
        <w:tc>
          <w:tcPr>
            <w:tcW w:w="5945" w:type="dxa"/>
            <w:gridSpan w:val="3"/>
          </w:tcPr>
          <w:p w14:paraId="63BA92C7">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Email:</w:t>
            </w:r>
          </w:p>
          <w:p w14:paraId="1552CE11">
            <w:pPr>
              <w:widowControl/>
              <w:suppressAutoHyphens/>
              <w:spacing w:before="0" w:after="0" w:line="240" w:lineRule="auto"/>
              <w:jc w:val="both"/>
              <w:rPr>
                <w:rFonts w:ascii="Times New Roman" w:hAnsi="Times New Roman" w:cs="Times New Roman"/>
                <w:sz w:val="21"/>
                <w:szCs w:val="21"/>
              </w:rPr>
            </w:pPr>
          </w:p>
        </w:tc>
      </w:tr>
      <w:tr w14:paraId="145D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14:paraId="6E374F06">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Banco:</w:t>
            </w:r>
          </w:p>
          <w:p w14:paraId="7F9B6525">
            <w:pPr>
              <w:widowControl/>
              <w:suppressAutoHyphens/>
              <w:spacing w:before="0" w:after="0" w:line="240" w:lineRule="auto"/>
              <w:jc w:val="both"/>
              <w:rPr>
                <w:rFonts w:ascii="Times New Roman" w:hAnsi="Times New Roman" w:cs="Times New Roman"/>
                <w:sz w:val="21"/>
                <w:szCs w:val="21"/>
              </w:rPr>
            </w:pPr>
          </w:p>
        </w:tc>
        <w:tc>
          <w:tcPr>
            <w:tcW w:w="2973" w:type="dxa"/>
            <w:gridSpan w:val="2"/>
          </w:tcPr>
          <w:p w14:paraId="7F50B66C">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Agência:</w:t>
            </w:r>
          </w:p>
          <w:p w14:paraId="1FB3B391">
            <w:pPr>
              <w:widowControl/>
              <w:suppressAutoHyphens/>
              <w:spacing w:before="0" w:after="0" w:line="240" w:lineRule="auto"/>
              <w:jc w:val="both"/>
              <w:rPr>
                <w:rFonts w:ascii="Times New Roman" w:hAnsi="Times New Roman" w:cs="Times New Roman"/>
                <w:sz w:val="21"/>
                <w:szCs w:val="21"/>
              </w:rPr>
            </w:pPr>
          </w:p>
        </w:tc>
        <w:tc>
          <w:tcPr>
            <w:tcW w:w="2972" w:type="dxa"/>
          </w:tcPr>
          <w:p w14:paraId="62E493DF">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Conta:</w:t>
            </w:r>
          </w:p>
          <w:p w14:paraId="09F8C5D4">
            <w:pPr>
              <w:widowControl/>
              <w:suppressAutoHyphens/>
              <w:spacing w:before="0" w:after="0" w:line="240" w:lineRule="auto"/>
              <w:jc w:val="both"/>
              <w:rPr>
                <w:rFonts w:ascii="Times New Roman" w:hAnsi="Times New Roman" w:cs="Times New Roman"/>
                <w:sz w:val="21"/>
                <w:szCs w:val="21"/>
              </w:rPr>
            </w:pPr>
          </w:p>
        </w:tc>
      </w:tr>
      <w:tr w14:paraId="0403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14:paraId="5445F4F0">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Representante:</w:t>
            </w:r>
          </w:p>
          <w:p w14:paraId="1BE993B9">
            <w:pPr>
              <w:widowControl/>
              <w:suppressAutoHyphens/>
              <w:spacing w:before="0" w:after="0" w:line="240" w:lineRule="auto"/>
              <w:jc w:val="both"/>
              <w:rPr>
                <w:rFonts w:ascii="Times New Roman" w:hAnsi="Times New Roman" w:cs="Times New Roman"/>
                <w:sz w:val="21"/>
                <w:szCs w:val="21"/>
              </w:rPr>
            </w:pPr>
          </w:p>
        </w:tc>
        <w:tc>
          <w:tcPr>
            <w:tcW w:w="2972" w:type="dxa"/>
          </w:tcPr>
          <w:p w14:paraId="749AEA56">
            <w:pPr>
              <w:widowControl/>
              <w:suppressAutoHyphens/>
              <w:spacing w:before="0" w:after="0" w:line="240" w:lineRule="auto"/>
              <w:jc w:val="both"/>
              <w:rPr>
                <w:rFonts w:ascii="Times New Roman" w:hAnsi="Times New Roman"/>
                <w:sz w:val="21"/>
                <w:szCs w:val="21"/>
              </w:rPr>
            </w:pPr>
            <w:r>
              <w:rPr>
                <w:rFonts w:ascii="Times New Roman" w:hAnsi="Times New Roman" w:eastAsia="Calibri" w:cs="Times New Roman"/>
                <w:kern w:val="0"/>
                <w:sz w:val="21"/>
                <w:szCs w:val="21"/>
                <w:lang w:val="pt-BR" w:eastAsia="en-US" w:bidi="ar-SA"/>
              </w:rPr>
              <w:t>Telefone Celular:</w:t>
            </w:r>
          </w:p>
          <w:p w14:paraId="13AD6901">
            <w:pPr>
              <w:widowControl/>
              <w:suppressAutoHyphens/>
              <w:spacing w:before="0" w:after="0" w:line="240" w:lineRule="auto"/>
              <w:jc w:val="both"/>
              <w:rPr>
                <w:rFonts w:ascii="Times New Roman" w:hAnsi="Times New Roman" w:cs="Times New Roman"/>
                <w:sz w:val="21"/>
                <w:szCs w:val="21"/>
              </w:rPr>
            </w:pPr>
          </w:p>
        </w:tc>
      </w:tr>
    </w:tbl>
    <w:p w14:paraId="760A70F6">
      <w:pPr>
        <w:spacing w:before="0" w:after="0" w:line="240" w:lineRule="auto"/>
        <w:jc w:val="both"/>
        <w:rPr>
          <w:rFonts w:ascii="Times New Roman" w:hAnsi="Times New Roman" w:cs="Times New Roman"/>
          <w:sz w:val="21"/>
          <w:szCs w:val="21"/>
        </w:rPr>
      </w:pPr>
    </w:p>
    <w:p w14:paraId="31112825">
      <w:pPr>
        <w:spacing w:before="0" w:after="0" w:line="240" w:lineRule="auto"/>
        <w:ind w:firstLine="2268"/>
        <w:jc w:val="both"/>
        <w:rPr>
          <w:rFonts w:ascii="Times New Roman" w:hAnsi="Times New Roman"/>
          <w:sz w:val="21"/>
          <w:szCs w:val="21"/>
        </w:rPr>
      </w:pPr>
      <w:r>
        <w:rPr>
          <w:rFonts w:ascii="Times New Roman" w:hAnsi="Times New Roman" w:cs="Times New Roman"/>
          <w:sz w:val="21"/>
          <w:szCs w:val="21"/>
        </w:rPr>
        <w:t xml:space="preserve">Em atendimento ao disposto no </w:t>
      </w:r>
      <w:r>
        <w:rPr>
          <w:rFonts w:ascii="Times New Roman" w:hAnsi="Times New Roman" w:cs="Times New Roman"/>
          <w:sz w:val="21"/>
          <w:szCs w:val="21"/>
          <w:lang w:val="pt-BR"/>
        </w:rPr>
        <w:t xml:space="preserve"> </w:t>
      </w:r>
      <w:r>
        <w:rPr>
          <w:rFonts w:cs="Times New Roman"/>
          <w:sz w:val="21"/>
          <w:szCs w:val="21"/>
          <w:lang w:val="pt-BR"/>
        </w:rPr>
        <w:t>Pregão Eletrônico nº 17/2024</w:t>
      </w:r>
      <w:r>
        <w:rPr>
          <w:rFonts w:ascii="Times New Roman" w:hAnsi="Times New Roman" w:cs="Times New Roman"/>
          <w:sz w:val="21"/>
          <w:szCs w:val="21"/>
          <w:shd w:val="clear" w:fill="auto"/>
        </w:rPr>
        <w:t xml:space="preserve">, </w:t>
      </w:r>
      <w:r>
        <w:rPr>
          <w:rFonts w:ascii="Times New Roman" w:hAnsi="Times New Roman" w:cs="Times New Roman"/>
          <w:sz w:val="21"/>
          <w:szCs w:val="21"/>
        </w:rPr>
        <w:t>após análise do referido edital e tendo pleno conhecimento do seu conteúdo, se propõe a fornecer as mercadorias objeto da licitação, sob sua inteira responsabilidade, nas condições a seguir:</w:t>
      </w:r>
    </w:p>
    <w:p w14:paraId="0D73FA59">
      <w:pPr>
        <w:spacing w:before="0" w:after="0" w:line="240" w:lineRule="auto"/>
        <w:ind w:firstLine="2268"/>
        <w:jc w:val="both"/>
        <w:rPr>
          <w:rFonts w:ascii="Times New Roman" w:hAnsi="Times New Roman" w:cs="Times New Roman"/>
          <w:sz w:val="21"/>
          <w:szCs w:val="21"/>
        </w:rPr>
      </w:pPr>
    </w:p>
    <w:tbl>
      <w:tblPr>
        <w:tblStyle w:val="14"/>
        <w:tblW w:w="5000" w:type="pct"/>
        <w:tblInd w:w="0" w:type="dxa"/>
        <w:tblLayout w:type="fixed"/>
        <w:tblCellMar>
          <w:top w:w="0" w:type="dxa"/>
          <w:left w:w="28" w:type="dxa"/>
          <w:bottom w:w="0" w:type="dxa"/>
          <w:right w:w="28" w:type="dxa"/>
        </w:tblCellMar>
      </w:tblPr>
      <w:tblGrid>
        <w:gridCol w:w="646"/>
        <w:gridCol w:w="4448"/>
        <w:gridCol w:w="884"/>
        <w:gridCol w:w="708"/>
        <w:gridCol w:w="1048"/>
        <w:gridCol w:w="1253"/>
      </w:tblGrid>
      <w:tr w14:paraId="622B6F45">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0FD49CBE">
            <w:pPr>
              <w:spacing w:before="0" w:after="0" w:line="240" w:lineRule="auto"/>
              <w:jc w:val="center"/>
              <w:rPr>
                <w:rFonts w:ascii="Times New Roman" w:hAnsi="Times New Roman"/>
                <w:sz w:val="21"/>
                <w:szCs w:val="21"/>
              </w:rPr>
            </w:pPr>
            <w:r>
              <w:rPr>
                <w:rFonts w:ascii="Times New Roman" w:hAnsi="Times New Roman" w:cs="Times New Roman"/>
                <w:b/>
                <w:bCs/>
                <w:sz w:val="21"/>
                <w:szCs w:val="21"/>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788BF5B">
            <w:pPr>
              <w:spacing w:before="0" w:after="0" w:line="240" w:lineRule="auto"/>
              <w:jc w:val="center"/>
              <w:rPr>
                <w:rFonts w:ascii="Times New Roman" w:hAnsi="Times New Roman"/>
                <w:sz w:val="21"/>
                <w:szCs w:val="21"/>
              </w:rPr>
            </w:pPr>
            <w:r>
              <w:rPr>
                <w:rFonts w:ascii="Times New Roman" w:hAnsi="Times New Roman" w:cs="Times New Roman"/>
                <w:b/>
                <w:bCs/>
                <w:sz w:val="21"/>
                <w:szCs w:val="21"/>
              </w:rPr>
              <w:t>Descrição</w:t>
            </w:r>
          </w:p>
        </w:tc>
        <w:tc>
          <w:tcPr>
            <w:tcW w:w="87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5BAE88E5">
            <w:pPr>
              <w:spacing w:before="0" w:after="0" w:line="240" w:lineRule="auto"/>
              <w:jc w:val="center"/>
              <w:rPr>
                <w:rFonts w:ascii="Times New Roman" w:hAnsi="Times New Roman"/>
                <w:sz w:val="21"/>
                <w:szCs w:val="21"/>
              </w:rPr>
            </w:pPr>
            <w:r>
              <w:rPr>
                <w:rFonts w:ascii="Times New Roman" w:hAnsi="Times New Roman" w:cs="Times New Roman"/>
                <w:b/>
                <w:bCs/>
                <w:sz w:val="21"/>
                <w:szCs w:val="21"/>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52C6E66B">
            <w:pPr>
              <w:spacing w:before="0" w:after="0" w:line="240" w:lineRule="auto"/>
              <w:jc w:val="center"/>
              <w:rPr>
                <w:rFonts w:ascii="Times New Roman" w:hAnsi="Times New Roman"/>
                <w:sz w:val="21"/>
                <w:szCs w:val="21"/>
              </w:rPr>
            </w:pPr>
            <w:r>
              <w:rPr>
                <w:rFonts w:ascii="Times New Roman" w:hAnsi="Times New Roman" w:cs="Times New Roman"/>
                <w:b/>
                <w:bCs/>
                <w:sz w:val="21"/>
                <w:szCs w:val="21"/>
              </w:rPr>
              <w:t>Qtde</w:t>
            </w:r>
          </w:p>
        </w:tc>
        <w:tc>
          <w:tcPr>
            <w:tcW w:w="104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4E75B7E">
            <w:pPr>
              <w:spacing w:before="0" w:after="0" w:line="240" w:lineRule="auto"/>
              <w:jc w:val="center"/>
              <w:rPr>
                <w:rFonts w:ascii="Times New Roman" w:hAnsi="Times New Roman"/>
                <w:sz w:val="21"/>
                <w:szCs w:val="21"/>
              </w:rPr>
            </w:pPr>
            <w:r>
              <w:rPr>
                <w:rFonts w:ascii="Times New Roman" w:hAnsi="Times New Roman" w:cs="Times New Roman"/>
                <w:b/>
                <w:bCs/>
                <w:sz w:val="21"/>
                <w:szCs w:val="21"/>
              </w:rPr>
              <w:t>Preço</w:t>
            </w:r>
          </w:p>
          <w:p w14:paraId="64E452FD">
            <w:pPr>
              <w:spacing w:before="0" w:after="0" w:line="240" w:lineRule="auto"/>
              <w:jc w:val="center"/>
              <w:rPr>
                <w:rFonts w:ascii="Times New Roman" w:hAnsi="Times New Roman"/>
                <w:sz w:val="21"/>
                <w:szCs w:val="21"/>
              </w:rPr>
            </w:pPr>
            <w:r>
              <w:rPr>
                <w:rFonts w:ascii="Times New Roman" w:hAnsi="Times New Roman" w:cs="Times New Roman"/>
                <w:b/>
                <w:bCs/>
                <w:sz w:val="21"/>
                <w:szCs w:val="21"/>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5AB29070">
            <w:pPr>
              <w:spacing w:before="0" w:after="0" w:line="240" w:lineRule="auto"/>
              <w:jc w:val="center"/>
              <w:rPr>
                <w:rFonts w:ascii="Times New Roman" w:hAnsi="Times New Roman"/>
                <w:sz w:val="21"/>
                <w:szCs w:val="21"/>
              </w:rPr>
            </w:pPr>
            <w:r>
              <w:rPr>
                <w:rFonts w:ascii="Times New Roman" w:hAnsi="Times New Roman" w:cs="Times New Roman"/>
                <w:b/>
                <w:sz w:val="21"/>
                <w:szCs w:val="21"/>
              </w:rPr>
              <w:t>Preço</w:t>
            </w:r>
          </w:p>
          <w:p w14:paraId="16D760E9">
            <w:pPr>
              <w:spacing w:before="0" w:after="0" w:line="240" w:lineRule="auto"/>
              <w:jc w:val="center"/>
              <w:rPr>
                <w:rFonts w:ascii="Times New Roman" w:hAnsi="Times New Roman"/>
                <w:sz w:val="21"/>
                <w:szCs w:val="21"/>
              </w:rPr>
            </w:pPr>
            <w:r>
              <w:rPr>
                <w:rFonts w:ascii="Times New Roman" w:hAnsi="Times New Roman" w:cs="Times New Roman"/>
                <w:b/>
                <w:sz w:val="21"/>
                <w:szCs w:val="21"/>
              </w:rPr>
              <w:t>Total</w:t>
            </w:r>
            <w:r>
              <w:rPr>
                <w:rStyle w:val="20"/>
                <w:rFonts w:ascii="Times New Roman" w:hAnsi="Times New Roman" w:cs="Times New Roman"/>
                <w:b/>
                <w:sz w:val="21"/>
                <w:szCs w:val="21"/>
              </w:rPr>
              <w:footnoteReference w:id="0"/>
            </w:r>
          </w:p>
        </w:tc>
      </w:tr>
      <w:tr w14:paraId="3EB3BB22">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14:paraId="2D29C6CF">
            <w:pPr>
              <w:spacing w:before="0" w:after="0" w:line="240" w:lineRule="auto"/>
              <w:rPr>
                <w:rFonts w:ascii="Times New Roman" w:hAnsi="Times New Roman"/>
                <w:sz w:val="21"/>
                <w:szCs w:val="21"/>
                <w:highlight w:val="none"/>
              </w:rPr>
            </w:pPr>
            <w:r>
              <w:rPr>
                <w:rFonts w:ascii="Times New Roman" w:hAnsi="Times New Roman" w:cs="Times New Roman"/>
                <w:color w:val="000000"/>
                <w:sz w:val="21"/>
                <w:szCs w:val="21"/>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14:paraId="06C0DD16">
            <w:pPr>
              <w:spacing w:before="0" w:after="0" w:line="240" w:lineRule="auto"/>
              <w:jc w:val="both"/>
              <w:rPr>
                <w:rFonts w:ascii="Times New Roman" w:hAnsi="Times New Roman"/>
                <w:sz w:val="21"/>
                <w:szCs w:val="21"/>
                <w:highlight w:val="none"/>
              </w:rPr>
            </w:pPr>
            <w:r>
              <w:rPr>
                <w:rFonts w:ascii="Times New Roman" w:hAnsi="Times New Roman" w:eastAsia="Times New Roman" w:cs="Times New Roman"/>
                <w:color w:val="000000"/>
                <w:sz w:val="21"/>
                <w:szCs w:val="21"/>
                <w:highlight w:val="none"/>
                <w:lang w:eastAsia="pt-BR"/>
              </w:rPr>
              <w:t>XXX</w:t>
            </w:r>
          </w:p>
        </w:tc>
        <w:tc>
          <w:tcPr>
            <w:tcW w:w="878" w:type="dxa"/>
            <w:tcBorders>
              <w:top w:val="single" w:color="000000" w:sz="4" w:space="0"/>
              <w:left w:val="single" w:color="000000" w:sz="4" w:space="0"/>
              <w:bottom w:val="single" w:color="000000" w:sz="4" w:space="0"/>
              <w:right w:val="single" w:color="000000" w:sz="4" w:space="0"/>
            </w:tcBorders>
          </w:tcPr>
          <w:p w14:paraId="18B796D1">
            <w:pPr>
              <w:spacing w:before="0" w:after="0" w:line="240" w:lineRule="auto"/>
              <w:jc w:val="both"/>
              <w:rPr>
                <w:rFonts w:ascii="Times New Roman" w:hAnsi="Times New Roman"/>
                <w:sz w:val="21"/>
                <w:szCs w:val="21"/>
                <w:highlight w:val="none"/>
              </w:rPr>
            </w:pPr>
            <w:r>
              <w:rPr>
                <w:rFonts w:ascii="Times New Roman" w:hAnsi="Times New Roman" w:eastAsia="Times New Roman" w:cs="Times New Roman"/>
                <w:color w:val="000000"/>
                <w:sz w:val="21"/>
                <w:szCs w:val="21"/>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14:paraId="0AD14634">
            <w:pPr>
              <w:spacing w:before="0" w:after="0" w:line="240" w:lineRule="auto"/>
              <w:rPr>
                <w:rFonts w:ascii="Times New Roman" w:hAnsi="Times New Roman"/>
                <w:sz w:val="21"/>
                <w:szCs w:val="21"/>
                <w:highlight w:val="none"/>
              </w:rPr>
            </w:pPr>
            <w:r>
              <w:rPr>
                <w:rFonts w:ascii="Times New Roman" w:hAnsi="Times New Roman" w:cs="Times New Roman"/>
                <w:bCs/>
                <w:sz w:val="21"/>
                <w:szCs w:val="21"/>
                <w:highlight w:val="none"/>
              </w:rPr>
              <w:t>XXX</w:t>
            </w:r>
          </w:p>
        </w:tc>
        <w:tc>
          <w:tcPr>
            <w:tcW w:w="1041" w:type="dxa"/>
            <w:tcBorders>
              <w:top w:val="single" w:color="000000" w:sz="4" w:space="0"/>
              <w:left w:val="single" w:color="000000" w:sz="4" w:space="0"/>
              <w:bottom w:val="single" w:color="000000" w:sz="4" w:space="0"/>
              <w:right w:val="single" w:color="000000" w:sz="4" w:space="0"/>
            </w:tcBorders>
          </w:tcPr>
          <w:p w14:paraId="7E01FFDB">
            <w:pPr>
              <w:spacing w:before="0" w:after="0" w:line="240" w:lineRule="auto"/>
              <w:jc w:val="both"/>
              <w:rPr>
                <w:rFonts w:ascii="Times New Roman" w:hAnsi="Times New Roman"/>
                <w:sz w:val="21"/>
                <w:szCs w:val="21"/>
                <w:highlight w:val="none"/>
              </w:rPr>
            </w:pPr>
            <w:r>
              <w:rPr>
                <w:rFonts w:ascii="Times New Roman" w:hAnsi="Times New Roman" w:eastAsia="Arial" w:cs="Times New Roman"/>
                <w:color w:val="000000"/>
                <w:sz w:val="21"/>
                <w:szCs w:val="21"/>
                <w:highlight w:val="none"/>
              </w:rPr>
              <w:t>R$ ??,??</w:t>
            </w:r>
          </w:p>
        </w:tc>
        <w:tc>
          <w:tcPr>
            <w:tcW w:w="1245" w:type="dxa"/>
            <w:tcBorders>
              <w:top w:val="single" w:color="000000" w:sz="4" w:space="0"/>
              <w:left w:val="single" w:color="000000" w:sz="4" w:space="0"/>
              <w:bottom w:val="single" w:color="000000" w:sz="4" w:space="0"/>
              <w:right w:val="single" w:color="000000" w:sz="4" w:space="0"/>
            </w:tcBorders>
          </w:tcPr>
          <w:p w14:paraId="63AA5935">
            <w:pPr>
              <w:spacing w:before="0" w:after="0" w:line="240" w:lineRule="auto"/>
              <w:jc w:val="both"/>
              <w:rPr>
                <w:rFonts w:ascii="Times New Roman" w:hAnsi="Times New Roman"/>
                <w:sz w:val="21"/>
                <w:szCs w:val="21"/>
                <w:highlight w:val="none"/>
              </w:rPr>
            </w:pPr>
            <w:r>
              <w:rPr>
                <w:rFonts w:ascii="Times New Roman" w:hAnsi="Times New Roman" w:eastAsia="Arial" w:cs="Times New Roman"/>
                <w:color w:val="000000"/>
                <w:sz w:val="21"/>
                <w:szCs w:val="21"/>
                <w:highlight w:val="none"/>
              </w:rPr>
              <w:t>R$ ???.???,??</w:t>
            </w:r>
          </w:p>
        </w:tc>
      </w:tr>
    </w:tbl>
    <w:p w14:paraId="00F0B7B6">
      <w:pPr>
        <w:rPr>
          <w:rFonts w:ascii="Times New Roman" w:hAnsi="Times New Roman" w:cs="Times New Roman"/>
          <w:b/>
          <w:sz w:val="21"/>
          <w:szCs w:val="21"/>
        </w:rPr>
      </w:pPr>
    </w:p>
    <w:p w14:paraId="2A960EC9">
      <w:pPr>
        <w:spacing w:before="0" w:after="0" w:line="240" w:lineRule="auto"/>
        <w:ind w:firstLine="2268"/>
        <w:jc w:val="both"/>
        <w:rPr>
          <w:rFonts w:ascii="Times New Roman" w:hAnsi="Times New Roman"/>
          <w:sz w:val="21"/>
          <w:szCs w:val="21"/>
        </w:rPr>
      </w:pPr>
      <w:r>
        <w:rPr>
          <w:rFonts w:ascii="Times New Roman" w:hAnsi="Times New Roman" w:cs="Times New Roman"/>
          <w:sz w:val="21"/>
          <w:szCs w:val="21"/>
        </w:rPr>
        <w:t>E, para tanto, declaro que no preço estão incluídos todos os custos diretos ou indiretos com o fornecimento dos materiais, inclusive tributos, equipamentos, pessoal, taxas, transportes, alimentação etc., e que a presente proposta tem validade de 60 (sessenta) dias.</w:t>
      </w:r>
    </w:p>
    <w:p w14:paraId="7F0B52AF">
      <w:pPr>
        <w:spacing w:before="0" w:after="0" w:line="240" w:lineRule="auto"/>
        <w:ind w:firstLine="2268"/>
        <w:jc w:val="both"/>
        <w:rPr>
          <w:rFonts w:ascii="Times New Roman" w:hAnsi="Times New Roman" w:cs="Times New Roman"/>
          <w:sz w:val="21"/>
          <w:szCs w:val="21"/>
        </w:rPr>
      </w:pPr>
    </w:p>
    <w:p w14:paraId="4A60B3D6">
      <w:pPr>
        <w:spacing w:before="0" w:after="0" w:line="240" w:lineRule="auto"/>
        <w:ind w:firstLine="2268"/>
        <w:jc w:val="both"/>
        <w:rPr>
          <w:rFonts w:ascii="Times New Roman" w:hAnsi="Times New Roman"/>
          <w:sz w:val="21"/>
          <w:szCs w:val="21"/>
        </w:rPr>
      </w:pPr>
      <w:r>
        <w:rPr>
          <w:rFonts w:ascii="Times New Roman" w:hAnsi="Times New Roman" w:cs="Times New Roman"/>
          <w:sz w:val="21"/>
          <w:szCs w:val="21"/>
        </w:rPr>
        <w:t>Data e Local.</w:t>
      </w:r>
    </w:p>
    <w:p w14:paraId="58E1DB1D">
      <w:pPr>
        <w:jc w:val="center"/>
        <w:rPr>
          <w:rFonts w:ascii="Times New Roman" w:hAnsi="Times New Roman" w:cs="Times New Roman"/>
          <w:sz w:val="21"/>
          <w:szCs w:val="21"/>
        </w:rPr>
      </w:pPr>
    </w:p>
    <w:p w14:paraId="4024C696">
      <w:pPr>
        <w:jc w:val="center"/>
        <w:rPr>
          <w:rFonts w:ascii="Times New Roman" w:hAnsi="Times New Roman" w:cs="Times New Roman"/>
          <w:sz w:val="21"/>
          <w:szCs w:val="21"/>
        </w:rPr>
      </w:pPr>
    </w:p>
    <w:p w14:paraId="0FE98F90">
      <w:pPr>
        <w:spacing w:before="0" w:after="0" w:line="240" w:lineRule="auto"/>
        <w:jc w:val="center"/>
        <w:rPr>
          <w:rFonts w:ascii="Times New Roman" w:hAnsi="Times New Roman"/>
          <w:sz w:val="21"/>
          <w:szCs w:val="21"/>
        </w:rPr>
      </w:pPr>
      <w:r>
        <w:rPr>
          <w:rFonts w:ascii="Times New Roman" w:hAnsi="Times New Roman" w:cs="Times New Roman"/>
          <w:sz w:val="21"/>
          <w:szCs w:val="21"/>
        </w:rPr>
        <w:t>_______________________________________</w:t>
      </w:r>
    </w:p>
    <w:p w14:paraId="335496B1">
      <w:pPr>
        <w:pStyle w:val="50"/>
        <w:tabs>
          <w:tab w:val="left" w:pos="1134"/>
        </w:tabs>
        <w:spacing w:before="0" w:beforeAutospacing="0" w:after="0" w:afterAutospacing="0"/>
        <w:jc w:val="center"/>
        <w:textAlignment w:val="baseline"/>
        <w:rPr>
          <w:rFonts w:ascii="Times New Roman" w:hAnsi="Times New Roman"/>
          <w:sz w:val="21"/>
          <w:szCs w:val="21"/>
        </w:rPr>
      </w:pPr>
      <w:r>
        <w:rPr>
          <w:sz w:val="21"/>
          <w:szCs w:val="21"/>
        </w:rPr>
        <w:t>Nome completo e Assinatura do proponente</w:t>
      </w:r>
    </w:p>
    <w:p w14:paraId="735F4EA5">
      <w:pPr>
        <w:rPr>
          <w:sz w:val="21"/>
          <w:szCs w:val="21"/>
        </w:rPr>
      </w:pPr>
      <w:r>
        <w:rPr>
          <w:sz w:val="21"/>
          <w:szCs w:val="21"/>
        </w:rPr>
        <w:br w:type="page"/>
      </w:r>
    </w:p>
    <w:p w14:paraId="60F7880F">
      <w:pPr>
        <w:pStyle w:val="2"/>
        <w:numPr>
          <w:ilvl w:val="0"/>
          <w:numId w:val="0"/>
        </w:numPr>
        <w:jc w:val="center"/>
        <w:rPr>
          <w:rFonts w:hint="default" w:ascii="Times New Roman" w:hAnsi="Times New Roman" w:cs="Times New Roman"/>
          <w:sz w:val="21"/>
          <w:szCs w:val="21"/>
        </w:rPr>
      </w:pPr>
      <w:bookmarkStart w:id="67" w:name="_Toc149509739"/>
      <w:r>
        <w:rPr>
          <w:rFonts w:hint="default" w:ascii="Times New Roman" w:hAnsi="Times New Roman" w:cs="Times New Roman"/>
          <w:sz w:val="21"/>
          <w:szCs w:val="21"/>
        </w:rPr>
        <w:t>ANEXO I</w:t>
      </w:r>
      <w:r>
        <w:rPr>
          <w:rFonts w:hint="default" w:ascii="Times New Roman" w:hAnsi="Times New Roman" w:cs="Times New Roman"/>
          <w:sz w:val="21"/>
          <w:szCs w:val="21"/>
          <w:lang w:val="pt-BR"/>
        </w:rPr>
        <w:t>V</w:t>
      </w:r>
      <w:r>
        <w:rPr>
          <w:rFonts w:hint="default" w:ascii="Times New Roman" w:hAnsi="Times New Roman" w:cs="Times New Roman"/>
          <w:sz w:val="21"/>
          <w:szCs w:val="21"/>
        </w:rPr>
        <w:t xml:space="preserve"> - MODELO DE ATESTADO DE VISTORIA TÉCNICA</w:t>
      </w:r>
      <w:bookmarkEnd w:id="67"/>
    </w:p>
    <w:p w14:paraId="5FE4A049">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58C7A2DB">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(UTILIZAR PAPEL TIMBRADO DA CÂMARA)</w:t>
      </w:r>
    </w:p>
    <w:p w14:paraId="5C82B19B">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77A6A93A">
      <w:pPr>
        <w:autoSpaceDE w:val="0"/>
        <w:autoSpaceDN w:val="0"/>
        <w:adjustRightInd w:val="0"/>
        <w:spacing w:after="0" w:line="240" w:lineRule="auto"/>
        <w:rPr>
          <w:rFonts w:hint="default" w:ascii="Times New Roman" w:hAnsi="Times New Roman" w:cs="Times New Roman"/>
          <w:color w:val="000000"/>
          <w:sz w:val="21"/>
          <w:szCs w:val="21"/>
          <w:highlight w:val="none"/>
          <w:lang w:val="pt-BR"/>
        </w:rPr>
      </w:pPr>
      <w:r>
        <w:rPr>
          <w:rFonts w:hint="default" w:ascii="Times New Roman" w:hAnsi="Times New Roman" w:cs="Times New Roman"/>
          <w:b/>
          <w:bCs/>
          <w:color w:val="000000"/>
          <w:sz w:val="21"/>
          <w:szCs w:val="21"/>
          <w:highlight w:val="none"/>
        </w:rPr>
        <w:t>Processo Administrativo</w:t>
      </w:r>
      <w:r>
        <w:rPr>
          <w:rFonts w:hint="default" w:cs="Times New Roman"/>
          <w:b/>
          <w:bCs/>
          <w:color w:val="000000"/>
          <w:sz w:val="21"/>
          <w:szCs w:val="21"/>
          <w:highlight w:val="none"/>
          <w:lang w:val="pt-BR"/>
        </w:rPr>
        <w:t xml:space="preserve"> nº</w:t>
      </w:r>
      <w:r>
        <w:rPr>
          <w:rFonts w:hint="default" w:ascii="Times New Roman" w:hAnsi="Times New Roman" w:cs="Times New Roman"/>
          <w:b/>
          <w:bCs/>
          <w:color w:val="000000"/>
          <w:sz w:val="21"/>
          <w:szCs w:val="21"/>
          <w:highlight w:val="none"/>
        </w:rPr>
        <w:t xml:space="preserve"> </w:t>
      </w:r>
      <w:r>
        <w:rPr>
          <w:rFonts w:hint="default" w:cs="Times New Roman"/>
          <w:b/>
          <w:bCs/>
          <w:color w:val="000000"/>
          <w:sz w:val="21"/>
          <w:szCs w:val="21"/>
          <w:highlight w:val="none"/>
          <w:lang w:val="pt-BR"/>
        </w:rPr>
        <w:t>46</w:t>
      </w:r>
      <w:r>
        <w:rPr>
          <w:rFonts w:hint="default" w:ascii="Times New Roman" w:hAnsi="Times New Roman" w:cs="Times New Roman"/>
          <w:b/>
          <w:bCs/>
          <w:color w:val="000000"/>
          <w:sz w:val="21"/>
          <w:szCs w:val="21"/>
          <w:highlight w:val="none"/>
          <w:lang w:val="pt-BR"/>
        </w:rPr>
        <w:t>/2024</w:t>
      </w:r>
    </w:p>
    <w:p w14:paraId="5E658F36">
      <w:pPr>
        <w:autoSpaceDE w:val="0"/>
        <w:autoSpaceDN w:val="0"/>
        <w:adjustRightInd w:val="0"/>
        <w:spacing w:after="0" w:line="240" w:lineRule="auto"/>
        <w:rPr>
          <w:rFonts w:hint="default" w:ascii="Times New Roman" w:hAnsi="Times New Roman" w:cs="Times New Roman"/>
          <w:b/>
          <w:bCs/>
          <w:color w:val="000000"/>
          <w:sz w:val="21"/>
          <w:szCs w:val="21"/>
          <w:highlight w:val="none"/>
        </w:rPr>
      </w:pPr>
      <w:r>
        <w:rPr>
          <w:rFonts w:hint="default" w:cs="Times New Roman"/>
          <w:b/>
          <w:bCs/>
          <w:color w:val="000000"/>
          <w:sz w:val="21"/>
          <w:szCs w:val="21"/>
          <w:highlight w:val="none"/>
          <w:lang w:val="pt-BR"/>
        </w:rPr>
        <w:t>Pregão Eletrônico nº 17/2024</w:t>
      </w:r>
    </w:p>
    <w:p w14:paraId="62AA25A4">
      <w:pPr>
        <w:pStyle w:val="50"/>
        <w:tabs>
          <w:tab w:val="left" w:pos="1134"/>
        </w:tabs>
        <w:spacing w:before="120" w:beforeAutospacing="0" w:after="120" w:afterAutospacing="0"/>
        <w:jc w:val="both"/>
        <w:textAlignment w:val="baseline"/>
        <w:rPr>
          <w:rFonts w:hint="default" w:ascii="Times New Roman" w:hAnsi="Times New Roman" w:cs="Times New Roman"/>
          <w:sz w:val="21"/>
          <w:szCs w:val="21"/>
        </w:rPr>
      </w:pPr>
    </w:p>
    <w:p w14:paraId="3FF7143F">
      <w:pPr>
        <w:pStyle w:val="50"/>
        <w:tabs>
          <w:tab w:val="left" w:pos="1134"/>
        </w:tabs>
        <w:spacing w:before="120" w:beforeAutospacing="0" w:after="120" w:afterAutospacing="0"/>
        <w:ind w:firstLine="567"/>
        <w:jc w:val="both"/>
        <w:textAlignment w:val="baseline"/>
        <w:rPr>
          <w:rFonts w:hint="default" w:ascii="Times New Roman" w:hAnsi="Times New Roman" w:cs="Times New Roman"/>
          <w:sz w:val="21"/>
          <w:szCs w:val="21"/>
        </w:rPr>
      </w:pPr>
      <w:r>
        <w:rPr>
          <w:rFonts w:hint="default" w:ascii="Times New Roman" w:hAnsi="Times New Roman" w:cs="Times New Roman"/>
          <w:sz w:val="21"/>
          <w:szCs w:val="21"/>
        </w:rPr>
        <w:t>Declaro para fins de direito e em atendimento ao art. 63, §§ 2º e 4º, da Lei Federal nº 14.133, de 2021, que a Empresa ___________________________________</w:t>
      </w:r>
      <w:r>
        <w:rPr>
          <w:rFonts w:hint="default" w:ascii="Times New Roman" w:hAnsi="Times New Roman" w:cs="Times New Roman"/>
          <w:b/>
          <w:bCs/>
          <w:sz w:val="21"/>
          <w:szCs w:val="21"/>
        </w:rPr>
        <w:t xml:space="preserve">, </w:t>
      </w:r>
      <w:r>
        <w:rPr>
          <w:rFonts w:hint="default" w:ascii="Times New Roman" w:hAnsi="Times New Roman" w:cs="Times New Roman"/>
          <w:sz w:val="21"/>
          <w:szCs w:val="21"/>
        </w:rPr>
        <w:t>inscrita no CNPJ sob nº ___________________________, com Rua/Av. ________________________________ nº __________, Bairro _________________ – ______________________________ - _____, através de seu representante técnico o Engº. ___________________________________________</w:t>
      </w:r>
      <w:r>
        <w:rPr>
          <w:rFonts w:hint="default" w:ascii="Times New Roman" w:hAnsi="Times New Roman" w:cs="Times New Roman"/>
          <w:b/>
          <w:bCs/>
          <w:sz w:val="21"/>
          <w:szCs w:val="21"/>
        </w:rPr>
        <w:t>, CREA/UF nº __________________________</w:t>
      </w:r>
      <w:r>
        <w:rPr>
          <w:rFonts w:hint="default" w:ascii="Times New Roman" w:hAnsi="Times New Roman" w:cs="Times New Roman"/>
          <w:sz w:val="21"/>
          <w:szCs w:val="21"/>
        </w:rPr>
        <w:t xml:space="preserve">, esteve nos locais onde deve ser elaborado </w:t>
      </w:r>
      <w:r>
        <w:rPr>
          <w:rFonts w:hint="default" w:ascii="Times New Roman" w:hAnsi="Times New Roman" w:cs="Times New Roman"/>
          <w:sz w:val="21"/>
          <w:szCs w:val="21"/>
          <w:lang w:val="pt-BR"/>
        </w:rPr>
        <w:t xml:space="preserve">o </w:t>
      </w:r>
      <w:r>
        <w:rPr>
          <w:rFonts w:hint="default" w:ascii="Times New Roman" w:hAnsi="Times New Roman" w:cs="Times New Roman"/>
          <w:color w:val="000000"/>
          <w:sz w:val="21"/>
          <w:szCs w:val="21"/>
        </w:rPr>
        <w:t>estudo preliminar para</w:t>
      </w:r>
      <w:r>
        <w:rPr>
          <w:rFonts w:hint="default" w:ascii="Times New Roman" w:hAnsi="Times New Roman" w:cs="Times New Roman"/>
          <w:color w:val="000000"/>
          <w:sz w:val="21"/>
          <w:szCs w:val="21"/>
          <w:lang w:val="pt-BR"/>
        </w:rPr>
        <w:t xml:space="preserve"> o</w:t>
      </w:r>
      <w:r>
        <w:rPr>
          <w:rFonts w:hint="default" w:ascii="Times New Roman" w:hAnsi="Times New Roman" w:cs="Times New Roman"/>
          <w:color w:val="000000"/>
          <w:sz w:val="21"/>
          <w:szCs w:val="21"/>
        </w:rPr>
        <w:t xml:space="preserve"> </w:t>
      </w:r>
      <w:r>
        <w:rPr>
          <w:rStyle w:val="53"/>
          <w:rFonts w:hint="default"/>
          <w:b/>
          <w:bCs/>
          <w:color w:val="000000" w:themeColor="text1"/>
          <w:kern w:val="0"/>
          <w:sz w:val="22"/>
          <w:szCs w:val="22"/>
          <w:lang w:val="pt-BR"/>
          <w14:textFill>
            <w14:solidFill>
              <w14:schemeClr w14:val="tx1"/>
            </w14:solidFill>
          </w14:textFill>
        </w:rPr>
        <w:t>Registro de preços para futura e eventual contratação de empresa especializada no fornecimento e instalação de telhas, calhas, rufos e cumeeiras, incluindo mão de obra, para a Câmara Municipal de Primavera do Leste -  MT,</w:t>
      </w:r>
      <w:r>
        <w:rPr>
          <w:rFonts w:hint="default" w:ascii="Times New Roman" w:hAnsi="Times New Roman" w:cs="Times New Roman"/>
          <w:color w:val="000000"/>
          <w:sz w:val="21"/>
          <w:szCs w:val="21"/>
          <w:highlight w:val="none"/>
        </w:rPr>
        <w:t xml:space="preserve"> conforme previsto no edital e seus anexos, visitando e tomando conhecimento de tod</w:t>
      </w:r>
      <w:r>
        <w:rPr>
          <w:rFonts w:hint="default" w:ascii="Times New Roman" w:hAnsi="Times New Roman" w:cs="Times New Roman"/>
          <w:color w:val="000000"/>
          <w:sz w:val="21"/>
          <w:szCs w:val="21"/>
        </w:rPr>
        <w:t>as as informações e das condições locais para cumprimento das obrigações do objeto do referido</w:t>
      </w:r>
      <w:r>
        <w:rPr>
          <w:rFonts w:hint="default" w:ascii="Times New Roman" w:hAnsi="Times New Roman" w:cs="Times New Roman"/>
          <w:sz w:val="21"/>
          <w:szCs w:val="21"/>
        </w:rPr>
        <w:t xml:space="preserve"> certame. A visita realizada e os elementos necessários à elaboração da proposta, bem como, o desenvolvimento dos serviços a serem realizados, de modo a não incorrer em omissões que jamais poderão ser alegadas pela empresa em favor de eventuais pretensões de acréscimos de serviços, não sendo aceitas reclamações posteriores sob alegação de aumento de serviços ou materiais não relacionados </w:t>
      </w:r>
      <w:r>
        <w:rPr>
          <w:rFonts w:hint="default" w:ascii="Times New Roman" w:hAnsi="Times New Roman" w:cs="Times New Roman"/>
          <w:sz w:val="21"/>
          <w:szCs w:val="21"/>
          <w:lang w:val="pt-BR"/>
        </w:rPr>
        <w:t>na proposta</w:t>
      </w:r>
      <w:r>
        <w:rPr>
          <w:rFonts w:hint="default" w:ascii="Times New Roman" w:hAnsi="Times New Roman" w:cs="Times New Roman"/>
          <w:sz w:val="21"/>
          <w:szCs w:val="21"/>
        </w:rPr>
        <w:t>.</w:t>
      </w:r>
    </w:p>
    <w:p w14:paraId="217F38B3">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65573ECE">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 xml:space="preserve">Primavera do Leste - MT, ____ de _________________ de </w:t>
      </w:r>
      <w:r>
        <w:rPr>
          <w:rFonts w:hint="default" w:ascii="Times New Roman" w:hAnsi="Times New Roman" w:cs="Times New Roman"/>
          <w:sz w:val="21"/>
          <w:szCs w:val="21"/>
          <w:lang w:val="pt-BR"/>
        </w:rPr>
        <w:t>2024</w:t>
      </w:r>
      <w:r>
        <w:rPr>
          <w:rFonts w:hint="default" w:ascii="Times New Roman" w:hAnsi="Times New Roman" w:cs="Times New Roman"/>
          <w:sz w:val="21"/>
          <w:szCs w:val="21"/>
        </w:rPr>
        <w:t>.</w:t>
      </w:r>
    </w:p>
    <w:p w14:paraId="237E2EAE">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123FA0C9">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74F10983">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6F2C5D52">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037F2D19">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5DB4108F">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0C538B81">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009F5CA4">
      <w:pPr>
        <w:pStyle w:val="50"/>
        <w:tabs>
          <w:tab w:val="left" w:pos="1134"/>
        </w:tabs>
        <w:spacing w:before="120" w:beforeAutospacing="0" w:after="120" w:afterAutospacing="0"/>
        <w:jc w:val="center"/>
        <w:textAlignment w:val="baseline"/>
        <w:rPr>
          <w:rFonts w:hint="default" w:ascii="Times New Roman" w:hAnsi="Times New Roman" w:cs="Times New Roman"/>
          <w:sz w:val="21"/>
          <w:szCs w:val="21"/>
        </w:rPr>
      </w:pPr>
    </w:p>
    <w:p w14:paraId="04345B80">
      <w:pPr>
        <w:pStyle w:val="50"/>
        <w:tabs>
          <w:tab w:val="left" w:pos="1134"/>
        </w:tabs>
        <w:spacing w:before="0" w:beforeAutospacing="0" w:after="0" w:afterAutospacing="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____________________________________________</w:t>
      </w:r>
    </w:p>
    <w:p w14:paraId="312835B7">
      <w:pPr>
        <w:pStyle w:val="50"/>
        <w:tabs>
          <w:tab w:val="left" w:pos="1134"/>
        </w:tabs>
        <w:spacing w:before="0" w:beforeAutospacing="0" w:after="0" w:afterAutospacing="0"/>
        <w:jc w:val="center"/>
        <w:textAlignment w:val="baseline"/>
        <w:rPr>
          <w:rFonts w:hint="default" w:ascii="Times New Roman" w:hAnsi="Times New Roman" w:cs="Times New Roman"/>
          <w:b/>
          <w:bCs/>
          <w:sz w:val="21"/>
          <w:szCs w:val="21"/>
        </w:rPr>
      </w:pPr>
      <w:r>
        <w:rPr>
          <w:rFonts w:hint="default" w:ascii="Times New Roman" w:hAnsi="Times New Roman" w:cs="Times New Roman"/>
          <w:b/>
          <w:bCs/>
          <w:sz w:val="21"/>
          <w:szCs w:val="21"/>
        </w:rPr>
        <w:t>Nome Completo do(a) Servidor(a) da Câmara</w:t>
      </w:r>
    </w:p>
    <w:p w14:paraId="20126792">
      <w:pPr>
        <w:pStyle w:val="50"/>
        <w:tabs>
          <w:tab w:val="left" w:pos="1134"/>
        </w:tabs>
        <w:spacing w:before="0" w:beforeAutospacing="0" w:after="0" w:afterAutospacing="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Matrícula do(a) Servidor(a)</w:t>
      </w:r>
    </w:p>
    <w:p w14:paraId="512047CE">
      <w:pPr>
        <w:rPr>
          <w:rFonts w:hint="default" w:ascii="Times New Roman" w:hAnsi="Times New Roman" w:eastAsia="Times New Roman" w:cs="Times New Roman"/>
          <w:b/>
          <w:bCs/>
          <w:sz w:val="21"/>
          <w:szCs w:val="21"/>
          <w:lang w:eastAsia="pt-BR"/>
        </w:rPr>
      </w:pPr>
      <w:r>
        <w:rPr>
          <w:rFonts w:hint="default" w:ascii="Times New Roman" w:hAnsi="Times New Roman" w:cs="Times New Roman"/>
          <w:sz w:val="21"/>
          <w:szCs w:val="21"/>
        </w:rPr>
        <w:br w:type="page"/>
      </w:r>
    </w:p>
    <w:p w14:paraId="19F668FB">
      <w:pPr>
        <w:pStyle w:val="2"/>
        <w:numPr>
          <w:ilvl w:val="0"/>
          <w:numId w:val="0"/>
        </w:numPr>
        <w:jc w:val="center"/>
        <w:rPr>
          <w:rFonts w:hint="default" w:ascii="Times New Roman" w:hAnsi="Times New Roman" w:cs="Times New Roman"/>
          <w:sz w:val="21"/>
          <w:szCs w:val="21"/>
        </w:rPr>
      </w:pPr>
      <w:bookmarkStart w:id="68" w:name="_Toc149509740"/>
      <w:r>
        <w:rPr>
          <w:rFonts w:hint="default" w:ascii="Times New Roman" w:hAnsi="Times New Roman" w:cs="Times New Roman"/>
        </w:rPr>
        <w:t>A</w:t>
      </w:r>
      <w:r>
        <w:rPr>
          <w:rFonts w:hint="default" w:ascii="Times New Roman" w:hAnsi="Times New Roman" w:cs="Times New Roman"/>
          <w:sz w:val="21"/>
          <w:szCs w:val="21"/>
        </w:rPr>
        <w:t>NEXO V - MODELO DE DECLARAÇÃO DE PLENO CONHECIMENTO</w:t>
      </w:r>
      <w:bookmarkEnd w:id="68"/>
    </w:p>
    <w:p w14:paraId="4A6AD109">
      <w:pPr>
        <w:pStyle w:val="50"/>
        <w:tabs>
          <w:tab w:val="left" w:pos="1134"/>
        </w:tabs>
        <w:spacing w:before="0" w:beforeAutospacing="0" w:after="0" w:afterAutospacing="0"/>
        <w:jc w:val="center"/>
        <w:textAlignment w:val="baseline"/>
        <w:rPr>
          <w:rFonts w:hint="default" w:ascii="Times New Roman" w:hAnsi="Times New Roman" w:cs="Times New Roman"/>
          <w:sz w:val="21"/>
          <w:szCs w:val="21"/>
        </w:rPr>
      </w:pPr>
    </w:p>
    <w:p w14:paraId="06594C1E">
      <w:pPr>
        <w:pStyle w:val="50"/>
        <w:tabs>
          <w:tab w:val="left" w:pos="1134"/>
        </w:tabs>
        <w:spacing w:before="0" w:beforeAutospacing="0" w:after="0" w:afterAutospacing="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(UTILIZAR PAPEL TIMBRADO DA EMPRESA)</w:t>
      </w:r>
    </w:p>
    <w:p w14:paraId="5E1E537C">
      <w:pPr>
        <w:pStyle w:val="50"/>
        <w:tabs>
          <w:tab w:val="left" w:pos="1134"/>
        </w:tabs>
        <w:spacing w:before="0" w:beforeAutospacing="0" w:after="0" w:afterAutospacing="0"/>
        <w:jc w:val="center"/>
        <w:textAlignment w:val="baseline"/>
        <w:rPr>
          <w:rFonts w:hint="default" w:ascii="Times New Roman" w:hAnsi="Times New Roman" w:cs="Times New Roman"/>
          <w:sz w:val="21"/>
          <w:szCs w:val="21"/>
        </w:rPr>
      </w:pPr>
    </w:p>
    <w:p w14:paraId="53150F13">
      <w:pPr>
        <w:pStyle w:val="50"/>
        <w:tabs>
          <w:tab w:val="left" w:pos="1134"/>
        </w:tabs>
        <w:spacing w:before="120" w:beforeAutospacing="0" w:after="120" w:afterAutospacing="0"/>
        <w:jc w:val="center"/>
        <w:textAlignment w:val="baseline"/>
        <w:rPr>
          <w:rFonts w:hint="default" w:ascii="Times New Roman" w:hAnsi="Times New Roman" w:cs="Times New Roman"/>
          <w:b/>
          <w:bCs/>
          <w:sz w:val="21"/>
          <w:szCs w:val="21"/>
        </w:rPr>
      </w:pPr>
      <w:r>
        <w:rPr>
          <w:rFonts w:hint="default" w:ascii="Times New Roman" w:hAnsi="Times New Roman" w:cs="Times New Roman"/>
          <w:b/>
          <w:bCs/>
          <w:sz w:val="21"/>
          <w:szCs w:val="21"/>
        </w:rPr>
        <w:t>DECLARAÇÃO DE PLENO CONHECIMENTO DAS INFORMAÇÕES, CONDIÇÕES E LOCAIS PARA CUMPRIMENTO DO OBJETO DA LICITAÇÃO</w:t>
      </w:r>
    </w:p>
    <w:p w14:paraId="4CE51E29">
      <w:pPr>
        <w:pStyle w:val="50"/>
        <w:tabs>
          <w:tab w:val="left" w:pos="1134"/>
        </w:tabs>
        <w:spacing w:before="0" w:beforeAutospacing="0" w:after="0" w:afterAutospacing="0"/>
        <w:jc w:val="center"/>
        <w:textAlignment w:val="baseline"/>
        <w:rPr>
          <w:rFonts w:hint="default" w:ascii="Times New Roman" w:hAnsi="Times New Roman" w:cs="Times New Roman"/>
          <w:sz w:val="21"/>
          <w:szCs w:val="21"/>
        </w:rPr>
      </w:pPr>
    </w:p>
    <w:p w14:paraId="55A05C6C">
      <w:pPr>
        <w:autoSpaceDE w:val="0"/>
        <w:autoSpaceDN w:val="0"/>
        <w:adjustRightInd w:val="0"/>
        <w:spacing w:after="0" w:line="240" w:lineRule="auto"/>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Órgão Público: Câmara Municipal de Primavera do Leste - MT</w:t>
      </w:r>
    </w:p>
    <w:p w14:paraId="362EFC32">
      <w:pPr>
        <w:autoSpaceDE w:val="0"/>
        <w:autoSpaceDN w:val="0"/>
        <w:adjustRightInd w:val="0"/>
        <w:spacing w:after="0" w:line="240" w:lineRule="auto"/>
        <w:rPr>
          <w:rFonts w:hint="default" w:ascii="Times New Roman" w:hAnsi="Times New Roman" w:cs="Times New Roman"/>
          <w:color w:val="000000"/>
          <w:sz w:val="21"/>
          <w:szCs w:val="21"/>
          <w:highlight w:val="none"/>
          <w:lang w:val="pt-BR"/>
        </w:rPr>
      </w:pPr>
      <w:r>
        <w:rPr>
          <w:rFonts w:hint="default" w:ascii="Times New Roman" w:hAnsi="Times New Roman" w:cs="Times New Roman"/>
          <w:b/>
          <w:bCs/>
          <w:color w:val="000000"/>
          <w:sz w:val="21"/>
          <w:szCs w:val="21"/>
          <w:highlight w:val="none"/>
        </w:rPr>
        <w:t>Processo Administrativo</w:t>
      </w:r>
      <w:r>
        <w:rPr>
          <w:rFonts w:hint="default" w:cs="Times New Roman"/>
          <w:b/>
          <w:bCs/>
          <w:color w:val="000000"/>
          <w:sz w:val="21"/>
          <w:szCs w:val="21"/>
          <w:highlight w:val="none"/>
          <w:lang w:val="pt-BR"/>
        </w:rPr>
        <w:t xml:space="preserve"> nº 46</w:t>
      </w:r>
      <w:r>
        <w:rPr>
          <w:rFonts w:hint="default" w:ascii="Times New Roman" w:hAnsi="Times New Roman" w:cs="Times New Roman"/>
          <w:b/>
          <w:bCs/>
          <w:color w:val="000000"/>
          <w:sz w:val="21"/>
          <w:szCs w:val="21"/>
          <w:highlight w:val="none"/>
          <w:lang w:val="pt-BR"/>
        </w:rPr>
        <w:t>/2024</w:t>
      </w:r>
    </w:p>
    <w:p w14:paraId="3C8CF59E">
      <w:pPr>
        <w:autoSpaceDE w:val="0"/>
        <w:autoSpaceDN w:val="0"/>
        <w:adjustRightInd w:val="0"/>
        <w:spacing w:after="0" w:line="240" w:lineRule="auto"/>
        <w:rPr>
          <w:rFonts w:hint="default" w:ascii="Times New Roman" w:hAnsi="Times New Roman" w:cs="Times New Roman"/>
          <w:b/>
          <w:bCs/>
          <w:color w:val="000000"/>
          <w:sz w:val="21"/>
          <w:szCs w:val="21"/>
          <w:highlight w:val="none"/>
        </w:rPr>
      </w:pPr>
      <w:r>
        <w:rPr>
          <w:rFonts w:hint="default" w:cs="Times New Roman"/>
          <w:b/>
          <w:bCs/>
          <w:color w:val="000000"/>
          <w:sz w:val="21"/>
          <w:szCs w:val="21"/>
          <w:highlight w:val="none"/>
          <w:lang w:val="pt-BR"/>
        </w:rPr>
        <w:t>Pregão Eletrônico nº 17/2024</w:t>
      </w:r>
    </w:p>
    <w:p w14:paraId="33662E26">
      <w:pPr>
        <w:autoSpaceDE w:val="0"/>
        <w:autoSpaceDN w:val="0"/>
        <w:adjustRightInd w:val="0"/>
        <w:spacing w:after="0" w:line="240" w:lineRule="auto"/>
        <w:rPr>
          <w:rFonts w:hint="default" w:ascii="Times New Roman" w:hAnsi="Times New Roman" w:cs="Times New Roman"/>
          <w:b/>
          <w:bCs/>
          <w:color w:val="000000"/>
          <w:sz w:val="21"/>
          <w:szCs w:val="21"/>
        </w:rPr>
      </w:pPr>
    </w:p>
    <w:p w14:paraId="2381B932">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A Empresa __________________________________________________________, com sede na Rua/Av. __________________________ nº _____, Bairro ______________________ na cidade de __________________________ Estado de ____________________, inscrita no CNPJ sob o nº ___________________________, neste ato representada pelo seu Sócio gerente/Administrador o Sr. _______________________________________________, </w:t>
      </w:r>
      <w:r>
        <w:rPr>
          <w:rFonts w:hint="default" w:ascii="Times New Roman" w:hAnsi="Times New Roman" w:cs="Times New Roman"/>
          <w:b/>
          <w:bCs/>
          <w:color w:val="000000"/>
          <w:sz w:val="21"/>
          <w:szCs w:val="21"/>
        </w:rPr>
        <w:t xml:space="preserve">DECLARA, para fins de direito, em atendimento ao art. 67, VI, da Lei Federal nº 14.133, de 2021, </w:t>
      </w:r>
      <w:r>
        <w:rPr>
          <w:rFonts w:hint="default" w:ascii="Times New Roman" w:hAnsi="Times New Roman" w:cs="Times New Roman"/>
          <w:color w:val="000000"/>
          <w:sz w:val="21"/>
          <w:szCs w:val="21"/>
        </w:rPr>
        <w:t xml:space="preserve">que tem pleno conhecimento de todas as informações e das condições locais para o cumprimento das obrigações objeto em questão, e ainda, que aceita como válida a situação em que se encontra para a realização dos serviços a que se refere o referido edital. </w:t>
      </w:r>
    </w:p>
    <w:p w14:paraId="33F3C7FD">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p>
    <w:p w14:paraId="1FEC0BA5">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r>
        <w:rPr>
          <w:rFonts w:hint="default" w:ascii="Times New Roman" w:hAnsi="Times New Roman" w:cs="Times New Roman"/>
          <w:b/>
          <w:bCs/>
          <w:color w:val="000000"/>
          <w:sz w:val="21"/>
          <w:szCs w:val="21"/>
        </w:rPr>
        <w:t xml:space="preserve">DECLARO </w:t>
      </w:r>
      <w:r>
        <w:rPr>
          <w:rFonts w:hint="default" w:ascii="Times New Roman" w:hAnsi="Times New Roman" w:cs="Times New Roman"/>
          <w:color w:val="000000"/>
          <w:sz w:val="21"/>
          <w:szCs w:val="21"/>
        </w:rPr>
        <w:t xml:space="preserve">mais, para os devidos fins, que </w:t>
      </w:r>
      <w:r>
        <w:rPr>
          <w:rFonts w:hint="default" w:ascii="Times New Roman" w:hAnsi="Times New Roman" w:cs="Times New Roman"/>
          <w:b/>
          <w:bCs/>
          <w:color w:val="000000"/>
          <w:sz w:val="21"/>
          <w:szCs w:val="21"/>
        </w:rPr>
        <w:t xml:space="preserve">NÃO </w:t>
      </w:r>
      <w:r>
        <w:rPr>
          <w:rFonts w:hint="default" w:ascii="Times New Roman" w:hAnsi="Times New Roman" w:cs="Times New Roman"/>
          <w:color w:val="000000"/>
          <w:sz w:val="21"/>
          <w:szCs w:val="21"/>
        </w:rPr>
        <w:t xml:space="preserve">visitei o(s) local(is) onde deve ser elaborado </w:t>
      </w:r>
      <w:r>
        <w:rPr>
          <w:rFonts w:hint="default" w:ascii="Times New Roman" w:hAnsi="Times New Roman" w:cs="Times New Roman"/>
          <w:color w:val="000000"/>
          <w:sz w:val="21"/>
          <w:szCs w:val="21"/>
          <w:lang w:val="pt-BR"/>
        </w:rPr>
        <w:t xml:space="preserve">o </w:t>
      </w:r>
      <w:r>
        <w:rPr>
          <w:rFonts w:hint="default" w:ascii="Times New Roman" w:hAnsi="Times New Roman" w:cs="Times New Roman"/>
          <w:color w:val="000000"/>
          <w:sz w:val="21"/>
          <w:szCs w:val="21"/>
        </w:rPr>
        <w:t>estudo preliminar para</w:t>
      </w:r>
      <w:r>
        <w:rPr>
          <w:rFonts w:hint="default" w:ascii="Times New Roman" w:hAnsi="Times New Roman" w:cs="Times New Roman"/>
          <w:color w:val="000000"/>
          <w:sz w:val="21"/>
          <w:szCs w:val="21"/>
          <w:lang w:val="pt-BR"/>
        </w:rPr>
        <w:t xml:space="preserve"> o</w:t>
      </w:r>
      <w:r>
        <w:rPr>
          <w:rFonts w:hint="default" w:ascii="Times New Roman" w:hAnsi="Times New Roman" w:cs="Times New Roman"/>
          <w:color w:val="000000"/>
          <w:sz w:val="21"/>
          <w:szCs w:val="21"/>
        </w:rPr>
        <w:t xml:space="preserve"> </w:t>
      </w:r>
      <w:r>
        <w:rPr>
          <w:rStyle w:val="53"/>
          <w:rFonts w:hint="default"/>
          <w:b/>
          <w:bCs/>
          <w:color w:val="000000" w:themeColor="text1"/>
          <w:kern w:val="0"/>
          <w:sz w:val="22"/>
          <w:szCs w:val="22"/>
          <w:lang w:val="pt-BR"/>
          <w14:textFill>
            <w14:solidFill>
              <w14:schemeClr w14:val="tx1"/>
            </w14:solidFill>
          </w14:textFill>
        </w:rPr>
        <w:t>Registro de preços para futura e eventual contratação de empresa especializada no fornecimento e instalação de telhas, calhas, rufos e cumeeiras, incluindo mão de obra, para a Câmara Municipal de Primavera do Leste -  MT</w:t>
      </w:r>
      <w:r>
        <w:rPr>
          <w:rFonts w:hint="default" w:ascii="Times New Roman" w:hAnsi="Times New Roman" w:cs="Times New Roman"/>
          <w:color w:val="000000"/>
          <w:sz w:val="21"/>
          <w:szCs w:val="21"/>
        </w:rPr>
        <w:t xml:space="preserve">, por opção própria, assumindo assim que </w:t>
      </w:r>
      <w:r>
        <w:rPr>
          <w:rFonts w:hint="default" w:ascii="Times New Roman" w:hAnsi="Times New Roman" w:cs="Times New Roman"/>
          <w:b/>
          <w:bCs/>
          <w:color w:val="000000"/>
          <w:sz w:val="21"/>
          <w:szCs w:val="21"/>
        </w:rPr>
        <w:t xml:space="preserve">CONCORDO </w:t>
      </w:r>
      <w:r>
        <w:rPr>
          <w:rFonts w:hint="default" w:ascii="Times New Roman" w:hAnsi="Times New Roman" w:cs="Times New Roman"/>
          <w:color w:val="000000"/>
          <w:sz w:val="21"/>
          <w:szCs w:val="21"/>
        </w:rPr>
        <w:t>com todas as condições estabelecidas no Edital e seus Anexos, e que, ainda, assumo toda e qualquer responsabilidade pela ocorrência de eventuais prejuízos em virtude da minha omissão na verificação das condições dos locais de execução do objeto do referido certame licitatório.</w:t>
      </w:r>
    </w:p>
    <w:p w14:paraId="29F27213">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p>
    <w:p w14:paraId="600429A5">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r>
        <w:rPr>
          <w:rFonts w:hint="default" w:ascii="Times New Roman" w:hAnsi="Times New Roman" w:cs="Times New Roman"/>
          <w:b/>
          <w:bCs/>
          <w:color w:val="000000"/>
          <w:sz w:val="21"/>
          <w:szCs w:val="21"/>
        </w:rPr>
        <w:t xml:space="preserve">DECLARO </w:t>
      </w:r>
      <w:r>
        <w:rPr>
          <w:rFonts w:hint="default" w:ascii="Times New Roman" w:hAnsi="Times New Roman" w:cs="Times New Roman"/>
          <w:color w:val="000000"/>
          <w:sz w:val="21"/>
          <w:szCs w:val="21"/>
        </w:rPr>
        <w:t>outrossim, estar ciente de que os quantitativos apresentado</w:t>
      </w:r>
      <w:r>
        <w:rPr>
          <w:rFonts w:hint="default" w:ascii="Times New Roman" w:hAnsi="Times New Roman" w:cs="Times New Roman"/>
          <w:color w:val="000000"/>
          <w:sz w:val="21"/>
          <w:szCs w:val="21"/>
          <w:lang w:val="pt-BR"/>
        </w:rPr>
        <w:t>s</w:t>
      </w:r>
      <w:r>
        <w:rPr>
          <w:rFonts w:hint="default" w:ascii="Times New Roman" w:hAnsi="Times New Roman" w:cs="Times New Roman"/>
          <w:color w:val="000000"/>
          <w:sz w:val="21"/>
          <w:szCs w:val="21"/>
        </w:rPr>
        <w:t xml:space="preserve"> utilizados na elaboração da proposta são de nossa inteira responsabilidade, não cabendo qualquer tipo de reclamação posterior por parte da empresa quanto a estes valores. </w:t>
      </w:r>
    </w:p>
    <w:p w14:paraId="03904E96">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p>
    <w:p w14:paraId="4FD38E71">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E por ser verdade, assina a presente declaração sob as penas da lei. </w:t>
      </w:r>
    </w:p>
    <w:p w14:paraId="5D8D4A86">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p>
    <w:p w14:paraId="758DE18F">
      <w:pPr>
        <w:autoSpaceDE w:val="0"/>
        <w:autoSpaceDN w:val="0"/>
        <w:adjustRightInd w:val="0"/>
        <w:spacing w:after="0" w:line="240" w:lineRule="auto"/>
        <w:ind w:firstLine="567"/>
        <w:jc w:val="both"/>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[local], ______________, _______ de _______________ de </w:t>
      </w:r>
      <w:r>
        <w:rPr>
          <w:rFonts w:hint="default" w:ascii="Times New Roman" w:hAnsi="Times New Roman" w:cs="Times New Roman"/>
          <w:color w:val="000000"/>
          <w:sz w:val="21"/>
          <w:szCs w:val="21"/>
          <w:lang w:val="pt-BR"/>
        </w:rPr>
        <w:t>2024</w:t>
      </w:r>
      <w:r>
        <w:rPr>
          <w:rFonts w:hint="default" w:ascii="Times New Roman" w:hAnsi="Times New Roman" w:cs="Times New Roman"/>
          <w:color w:val="000000"/>
          <w:sz w:val="21"/>
          <w:szCs w:val="21"/>
        </w:rPr>
        <w:t>.</w:t>
      </w:r>
    </w:p>
    <w:p w14:paraId="0EEF756A">
      <w:pPr>
        <w:autoSpaceDE w:val="0"/>
        <w:autoSpaceDN w:val="0"/>
        <w:adjustRightInd w:val="0"/>
        <w:spacing w:after="0" w:line="240" w:lineRule="auto"/>
        <w:jc w:val="center"/>
        <w:rPr>
          <w:rFonts w:hint="default" w:ascii="Times New Roman" w:hAnsi="Times New Roman" w:cs="Times New Roman"/>
          <w:color w:val="000000"/>
          <w:sz w:val="21"/>
          <w:szCs w:val="21"/>
        </w:rPr>
      </w:pPr>
    </w:p>
    <w:p w14:paraId="7377B5B8">
      <w:pPr>
        <w:autoSpaceDE w:val="0"/>
        <w:autoSpaceDN w:val="0"/>
        <w:adjustRightInd w:val="0"/>
        <w:spacing w:after="0" w:line="240" w:lineRule="auto"/>
        <w:jc w:val="center"/>
        <w:rPr>
          <w:rFonts w:hint="default" w:ascii="Times New Roman" w:hAnsi="Times New Roman" w:cs="Times New Roman"/>
          <w:color w:val="000000"/>
          <w:sz w:val="21"/>
          <w:szCs w:val="21"/>
        </w:rPr>
      </w:pPr>
    </w:p>
    <w:p w14:paraId="5325D31C">
      <w:pPr>
        <w:autoSpaceDE w:val="0"/>
        <w:autoSpaceDN w:val="0"/>
        <w:adjustRightInd w:val="0"/>
        <w:spacing w:after="0" w:line="240" w:lineRule="auto"/>
        <w:jc w:val="center"/>
        <w:rPr>
          <w:rFonts w:hint="default" w:ascii="Times New Roman" w:hAnsi="Times New Roman" w:cs="Times New Roman"/>
          <w:color w:val="000000"/>
          <w:sz w:val="21"/>
          <w:szCs w:val="21"/>
        </w:rPr>
      </w:pPr>
    </w:p>
    <w:p w14:paraId="7A720B26">
      <w:pPr>
        <w:autoSpaceDE w:val="0"/>
        <w:autoSpaceDN w:val="0"/>
        <w:adjustRightInd w:val="0"/>
        <w:spacing w:after="0"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(Assinatura do representante legal da empresa)</w:t>
      </w:r>
    </w:p>
    <w:p w14:paraId="4D197FEE">
      <w:pPr>
        <w:autoSpaceDE w:val="0"/>
        <w:autoSpaceDN w:val="0"/>
        <w:adjustRightInd w:val="0"/>
        <w:spacing w:after="0" w:line="240"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_____________________________________</w:t>
      </w:r>
    </w:p>
    <w:p w14:paraId="731F61FA">
      <w:pPr>
        <w:autoSpaceDE w:val="0"/>
        <w:autoSpaceDN w:val="0"/>
        <w:adjustRightInd w:val="0"/>
        <w:spacing w:after="0" w:line="240" w:lineRule="auto"/>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Nome do representante legal da empresa</w:t>
      </w:r>
    </w:p>
    <w:p w14:paraId="73077B3C">
      <w:pPr>
        <w:autoSpaceDE w:val="0"/>
        <w:autoSpaceDN w:val="0"/>
        <w:adjustRightInd w:val="0"/>
        <w:spacing w:after="0" w:line="240" w:lineRule="auto"/>
        <w:jc w:val="center"/>
        <w:rPr>
          <w:rFonts w:hint="default" w:ascii="Times New Roman" w:hAnsi="Times New Roman" w:cs="Times New Roman"/>
          <w:b/>
          <w:bCs/>
          <w:color w:val="000000"/>
          <w:sz w:val="21"/>
          <w:szCs w:val="21"/>
        </w:rPr>
      </w:pPr>
    </w:p>
    <w:p w14:paraId="370CCE36">
      <w:pPr>
        <w:rPr>
          <w:rFonts w:hint="default" w:ascii="Times New Roman" w:hAnsi="Times New Roman" w:eastAsia="Times New Roman" w:cs="Times New Roman"/>
          <w:b/>
          <w:bCs/>
          <w:sz w:val="21"/>
          <w:szCs w:val="21"/>
          <w:lang w:eastAsia="pt-BR"/>
        </w:rPr>
      </w:pPr>
    </w:p>
    <w:p w14:paraId="4034C2C8">
      <w:pPr>
        <w:rPr>
          <w:rFonts w:hint="default" w:ascii="Times New Roman" w:hAnsi="Times New Roman" w:eastAsia="Times New Roman" w:cs="Times New Roman"/>
          <w:b/>
          <w:bCs/>
          <w:sz w:val="24"/>
          <w:szCs w:val="24"/>
          <w:lang w:eastAsia="pt-BR"/>
        </w:rPr>
      </w:pPr>
      <w:r>
        <w:rPr>
          <w:rFonts w:hint="default" w:ascii="Times New Roman" w:hAnsi="Times New Roman" w:cs="Times New Roman"/>
        </w:rPr>
        <w:br w:type="page"/>
      </w:r>
    </w:p>
    <w:p w14:paraId="31367E79">
      <w:pPr>
        <w:pStyle w:val="2"/>
        <w:numPr>
          <w:ilvl w:val="0"/>
          <w:numId w:val="0"/>
        </w:numPr>
        <w:spacing w:before="0" w:after="120"/>
        <w:ind w:left="0" w:firstLine="0"/>
        <w:jc w:val="center"/>
        <w:rPr>
          <w:rFonts w:hint="default" w:ascii="Times New Roman" w:hAnsi="Times New Roman"/>
          <w:sz w:val="21"/>
          <w:szCs w:val="21"/>
          <w:lang w:val="pt-BR"/>
        </w:rPr>
      </w:pPr>
      <w:bookmarkStart w:id="69" w:name="_ANEXO_IV_-"/>
      <w:bookmarkEnd w:id="69"/>
      <w:bookmarkStart w:id="70" w:name="_ANEXO_VII_-"/>
      <w:bookmarkEnd w:id="70"/>
      <w:bookmarkStart w:id="71" w:name="_ANEXO_V_-"/>
      <w:bookmarkEnd w:id="71"/>
      <w:bookmarkStart w:id="72" w:name="_Toc149517469"/>
      <w:r>
        <w:rPr>
          <w:sz w:val="21"/>
          <w:szCs w:val="21"/>
        </w:rPr>
        <w:t xml:space="preserve">ANEXO </w:t>
      </w:r>
      <w:r>
        <w:rPr>
          <w:rFonts w:hint="default"/>
          <w:sz w:val="21"/>
          <w:szCs w:val="21"/>
          <w:lang w:val="pt-BR"/>
        </w:rPr>
        <w:t>VI</w:t>
      </w:r>
      <w:r>
        <w:rPr>
          <w:sz w:val="21"/>
          <w:szCs w:val="21"/>
        </w:rPr>
        <w:t xml:space="preserve"> – MINUTA DA ATA DE REGISTRO DE PREÇOS</w:t>
      </w:r>
      <w:bookmarkEnd w:id="72"/>
      <w:r>
        <w:rPr>
          <w:rFonts w:hint="default"/>
          <w:sz w:val="21"/>
          <w:szCs w:val="21"/>
          <w:lang w:val="pt-BR"/>
        </w:rPr>
        <w:t xml:space="preserve"> Nº_____/2024.</w:t>
      </w:r>
    </w:p>
    <w:p w14:paraId="6C69909B">
      <w:pPr>
        <w:tabs>
          <w:tab w:val="left" w:pos="1134"/>
          <w:tab w:val="left" w:pos="3001"/>
        </w:tabs>
        <w:spacing w:before="360" w:after="120" w:line="240" w:lineRule="auto"/>
        <w:ind w:firstLine="567"/>
        <w:jc w:val="both"/>
        <w:rPr>
          <w:sz w:val="21"/>
          <w:szCs w:val="21"/>
        </w:rPr>
      </w:pPr>
      <w:r>
        <w:rPr>
          <w:rFonts w:ascii="Times New Roman" w:hAnsi="Times New Roman" w:cs="Times New Roman"/>
          <w:b/>
          <w:bCs/>
          <w:sz w:val="21"/>
          <w:szCs w:val="21"/>
          <w:lang w:eastAsia="pt-BR"/>
        </w:rPr>
        <w:t>O MUNICÍPIO DE PRIMAVERA DO LESTE - MT</w:t>
      </w:r>
      <w:r>
        <w:rPr>
          <w:rFonts w:ascii="Times New Roman" w:hAnsi="Times New Roman" w:cs="Times New Roman"/>
          <w:b w:val="0"/>
          <w:bCs w:val="0"/>
          <w:sz w:val="21"/>
          <w:szCs w:val="21"/>
          <w:lang w:eastAsia="pt-BR"/>
        </w:rPr>
        <w:t>, por intermédio da</w:t>
      </w:r>
      <w:r>
        <w:rPr>
          <w:rFonts w:ascii="Times New Roman" w:hAnsi="Times New Roman" w:cs="Times New Roman"/>
          <w:b/>
          <w:bCs/>
          <w:sz w:val="21"/>
          <w:szCs w:val="21"/>
          <w:lang w:eastAsia="pt-BR"/>
        </w:rPr>
        <w:t xml:space="preserve"> CÂMARA MUNICIPAL</w:t>
      </w:r>
      <w:r>
        <w:rPr>
          <w:rFonts w:ascii="Times New Roman" w:hAnsi="Times New Roman" w:cs="Arial"/>
          <w:sz w:val="21"/>
          <w:szCs w:val="21"/>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eastAsia="Calibri" w:cs="Arial"/>
          <w:sz w:val="21"/>
          <w:szCs w:val="21"/>
          <w:lang w:eastAsia="en-US"/>
        </w:rPr>
        <w:t>Valdecir Alventino da Silva,</w:t>
      </w:r>
      <w:r>
        <w:rPr>
          <w:rFonts w:ascii="Times New Roman" w:hAnsi="Times New Roman" w:cs="Times New Roman"/>
          <w:sz w:val="21"/>
          <w:szCs w:val="21"/>
          <w:lang w:eastAsia="pt-BR"/>
        </w:rPr>
        <w:t xml:space="preserve"> doravante denominada ÓRGÃO GERENCIADOR, institui a presente </w:t>
      </w:r>
      <w:r>
        <w:rPr>
          <w:rFonts w:ascii="Times New Roman" w:hAnsi="Times New Roman" w:cs="Times New Roman"/>
          <w:b/>
          <w:bCs/>
          <w:sz w:val="21"/>
          <w:szCs w:val="21"/>
          <w:lang w:eastAsia="pt-BR"/>
        </w:rPr>
        <w:t>ARP - ATA DE REGISTRO DE PREÇOS</w:t>
      </w:r>
      <w:r>
        <w:rPr>
          <w:rFonts w:ascii="Times New Roman" w:hAnsi="Times New Roman" w:cs="Times New Roman"/>
          <w:sz w:val="21"/>
          <w:szCs w:val="21"/>
          <w:lang w:eastAsia="pt-BR"/>
        </w:rPr>
        <w:t>, decorrente da licitação na modalidade de Pregão, em sua forma eletrônica, sob o número</w:t>
      </w:r>
      <w:r>
        <w:rPr>
          <w:rFonts w:hint="default" w:ascii="Times New Roman" w:hAnsi="Times New Roman" w:cs="Times New Roman"/>
          <w:sz w:val="21"/>
          <w:szCs w:val="21"/>
          <w:lang w:val="en-US" w:eastAsia="pt-BR"/>
        </w:rPr>
        <w:t xml:space="preserve"> </w:t>
      </w:r>
      <w:r>
        <w:rPr>
          <w:rFonts w:hint="default" w:cs="Times New Roman"/>
          <w:sz w:val="21"/>
          <w:szCs w:val="21"/>
          <w:lang w:val="en-US" w:eastAsia="pt-BR"/>
        </w:rPr>
        <w:t>17/</w:t>
      </w:r>
      <w:r>
        <w:rPr>
          <w:rFonts w:ascii="Times New Roman" w:hAnsi="Times New Roman" w:cs="Times New Roman"/>
          <w:sz w:val="21"/>
          <w:szCs w:val="21"/>
          <w:shd w:val="clear" w:fill="auto"/>
          <w:lang w:eastAsia="pt-BR"/>
        </w:rPr>
        <w:t xml:space="preserve">2024, </w:t>
      </w:r>
      <w:r>
        <w:rPr>
          <w:rFonts w:ascii="Times New Roman" w:hAnsi="Times New Roman" w:cs="Times New Roman"/>
          <w:sz w:val="21"/>
          <w:szCs w:val="21"/>
          <w:lang w:eastAsia="pt-BR"/>
        </w:rPr>
        <w:t xml:space="preserve">com critério de julgamento </w:t>
      </w:r>
      <w:r>
        <w:rPr>
          <w:rFonts w:cs="Times New Roman"/>
          <w:b/>
          <w:bCs/>
          <w:sz w:val="21"/>
          <w:szCs w:val="21"/>
          <w:lang w:eastAsia="pt-BR"/>
        </w:rPr>
        <w:t xml:space="preserve">MENOR PREÇO POR </w:t>
      </w:r>
      <w:r>
        <w:rPr>
          <w:rFonts w:hint="default" w:cs="Times New Roman"/>
          <w:b/>
          <w:bCs/>
          <w:sz w:val="21"/>
          <w:szCs w:val="21"/>
          <w:lang w:val="en-US" w:eastAsia="pt-BR"/>
        </w:rPr>
        <w:t>ITEM</w:t>
      </w:r>
      <w:r>
        <w:rPr>
          <w:rFonts w:ascii="Times New Roman" w:hAnsi="Times New Roman" w:cs="Times New Roman"/>
          <w:sz w:val="21"/>
          <w:szCs w:val="21"/>
          <w:lang w:eastAsia="pt-BR"/>
        </w:rPr>
        <w:t xml:space="preserve">, cujo objeto é </w:t>
      </w:r>
      <w:r>
        <w:rPr>
          <w:rStyle w:val="53"/>
          <w:rFonts w:hint="default"/>
          <w:b/>
          <w:bCs/>
          <w:color w:val="000000" w:themeColor="text1"/>
          <w:kern w:val="0"/>
          <w:sz w:val="22"/>
          <w:szCs w:val="22"/>
          <w:lang w:val="pt-BR"/>
          <w14:textFill>
            <w14:solidFill>
              <w14:schemeClr w14:val="tx1"/>
            </w14:solidFill>
          </w14:textFill>
        </w:rPr>
        <w:t>Registro de preços para futura e eventual contratação de empresa especializada no fornecimento e instalação de telhas, calhas, rufos e cumeeiras, incluindo mão de obra, para a Câmara Municipal de Primavera do Leste -  MT</w:t>
      </w:r>
      <w:r>
        <w:rPr>
          <w:rFonts w:ascii="Times New Roman" w:hAnsi="Times New Roman" w:cs="Times New Roman"/>
          <w:sz w:val="21"/>
          <w:szCs w:val="21"/>
          <w:shd w:val="clear" w:fill="auto"/>
          <w:lang w:eastAsia="pt-BR"/>
        </w:rPr>
        <w:t>,</w:t>
      </w:r>
      <w:r>
        <w:rPr>
          <w:rFonts w:ascii="Times New Roman" w:hAnsi="Times New Roman" w:cs="Times New Roman"/>
          <w:sz w:val="21"/>
          <w:szCs w:val="21"/>
          <w:lang w:eastAsia="pt-BR"/>
        </w:rPr>
        <w:t xml:space="preserve"> processada nos termos do </w:t>
      </w:r>
      <w:r>
        <w:rPr>
          <w:rFonts w:cs="Times New Roman"/>
          <w:sz w:val="21"/>
          <w:szCs w:val="21"/>
          <w:lang w:eastAsia="pt-BR"/>
        </w:rPr>
        <w:t xml:space="preserve">Processo Administrativo nº </w:t>
      </w:r>
      <w:r>
        <w:rPr>
          <w:rFonts w:hint="default" w:cs="Times New Roman"/>
          <w:sz w:val="21"/>
          <w:szCs w:val="21"/>
          <w:lang w:val="en-US" w:eastAsia="pt-BR"/>
        </w:rPr>
        <w:t>46</w:t>
      </w:r>
      <w:r>
        <w:rPr>
          <w:rFonts w:cs="Times New Roman"/>
          <w:sz w:val="21"/>
          <w:szCs w:val="21"/>
          <w:lang w:eastAsia="pt-BR"/>
        </w:rPr>
        <w:t>/2024</w:t>
      </w:r>
      <w:r>
        <w:rPr>
          <w:rFonts w:ascii="Times New Roman" w:hAnsi="Times New Roman" w:cs="Times New Roman"/>
          <w:sz w:val="21"/>
          <w:szCs w:val="21"/>
          <w:shd w:val="clear" w:fill="auto"/>
          <w:lang w:eastAsia="pt-BR"/>
        </w:rPr>
        <w:t>,</w:t>
      </w:r>
      <w:r>
        <w:rPr>
          <w:rFonts w:ascii="Times New Roman" w:hAnsi="Times New Roman" w:cs="Times New Roman"/>
          <w:sz w:val="21"/>
          <w:szCs w:val="21"/>
          <w:lang w:eastAsia="pt-BR"/>
        </w:rPr>
        <w:t xml:space="preserve"> o qual se constitui em documento vinculativo e obrigacional às partes, à luz da permissão inserta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"art40"</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40, II</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xml:space="preserve">,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"art78"</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78, IV</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xml:space="preserve">, e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"art82"</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82</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xml:space="preserve"> a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"art86"</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86 da 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xml:space="preserve">, regulamentado </w:t>
      </w:r>
      <w:r>
        <w:rPr>
          <w:rFonts w:ascii="Times New Roman" w:hAnsi="Times New Roman" w:cs="Times New Roman"/>
          <w:color w:val="000000"/>
          <w:sz w:val="21"/>
          <w:szCs w:val="21"/>
          <w:lang w:eastAsia="pt-BR"/>
        </w:rPr>
        <w:t>Decreto Estadual n</w:t>
      </w:r>
      <w:r>
        <w:rPr>
          <w:rFonts w:ascii="Times New Roman" w:hAnsi="Times New Roman" w:cs="Times New Roman"/>
          <w:b/>
          <w:bCs/>
          <w:color w:val="000000"/>
          <w:sz w:val="21"/>
          <w:szCs w:val="21"/>
          <w:lang w:eastAsia="pt-BR"/>
        </w:rPr>
        <w:t xml:space="preserve">º </w:t>
      </w:r>
      <w:r>
        <w:rPr>
          <w:rFonts w:ascii="Times New Roman" w:hAnsi="Times New Roman" w:cs="Times New Roman"/>
          <w:color w:val="000000"/>
          <w:sz w:val="21"/>
          <w:szCs w:val="21"/>
          <w:lang w:eastAsia="pt-BR"/>
        </w:rPr>
        <w:t>7.217/2006, e em conformidade com as disposições a seguir:</w:t>
      </w:r>
    </w:p>
    <w:p w14:paraId="6EEAD42D">
      <w:pPr>
        <w:pStyle w:val="68"/>
        <w:numPr>
          <w:ilvl w:val="0"/>
          <w:numId w:val="13"/>
        </w:numPr>
        <w:tabs>
          <w:tab w:val="left" w:pos="480"/>
        </w:tabs>
        <w:spacing w:before="240" w:after="120" w:line="240" w:lineRule="auto"/>
        <w:ind w:left="357" w:hanging="357"/>
        <w:contextualSpacing w:val="0"/>
        <w:jc w:val="both"/>
        <w:rPr>
          <w:rFonts w:ascii="Times New Roman" w:hAnsi="Times New Roman" w:cs="Times New Roman"/>
          <w:sz w:val="21"/>
          <w:szCs w:val="21"/>
          <w:lang w:eastAsia="pt-BR"/>
        </w:rPr>
      </w:pPr>
      <w:r>
        <w:rPr>
          <w:rFonts w:ascii="Times New Roman" w:hAnsi="Times New Roman" w:cs="Times New Roman"/>
          <w:b/>
          <w:bCs/>
          <w:sz w:val="21"/>
          <w:szCs w:val="21"/>
          <w:u w:val="single"/>
          <w:lang w:eastAsia="pt-BR"/>
        </w:rPr>
        <w:t>OBJETO</w:t>
      </w:r>
    </w:p>
    <w:p w14:paraId="51975CC4">
      <w:pPr>
        <w:pStyle w:val="68"/>
        <w:numPr>
          <w:ilvl w:val="0"/>
          <w:numId w:val="0"/>
        </w:numPr>
        <w:tabs>
          <w:tab w:val="left" w:pos="480"/>
        </w:tabs>
        <w:spacing w:before="240" w:after="120" w:line="240" w:lineRule="auto"/>
        <w:ind w:leftChars="0"/>
        <w:contextualSpacing w:val="0"/>
        <w:jc w:val="both"/>
        <w:rPr>
          <w:rFonts w:ascii="Times New Roman" w:hAnsi="Times New Roman" w:cs="Times New Roman"/>
          <w:sz w:val="21"/>
          <w:szCs w:val="21"/>
          <w:lang w:eastAsia="pt-BR"/>
        </w:rPr>
      </w:pPr>
      <w:r>
        <w:rPr>
          <w:rFonts w:hint="default" w:ascii="Times New Roman" w:hAnsi="Times New Roman" w:cs="Times New Roman"/>
          <w:b/>
          <w:bCs/>
          <w:sz w:val="21"/>
          <w:szCs w:val="21"/>
          <w:u w:val="none"/>
          <w:lang w:val="en-US" w:eastAsia="pt-BR"/>
        </w:rPr>
        <w:t xml:space="preserve">1.1 </w:t>
      </w:r>
      <w:r>
        <w:rPr>
          <w:rFonts w:ascii="Times New Roman" w:hAnsi="Times New Roman" w:cs="Times New Roman"/>
          <w:sz w:val="21"/>
          <w:szCs w:val="21"/>
          <w:lang w:eastAsia="pt-BR"/>
        </w:rPr>
        <w:t xml:space="preserve">A presente Ata tem por objeto </w:t>
      </w:r>
      <w:r>
        <w:rPr>
          <w:rFonts w:hint="default" w:cs="Times New Roman"/>
          <w:sz w:val="21"/>
          <w:szCs w:val="21"/>
          <w:lang w:val="en-US" w:eastAsia="pt-BR"/>
        </w:rPr>
        <w:t xml:space="preserve">é o </w:t>
      </w:r>
      <w:r>
        <w:rPr>
          <w:rStyle w:val="53"/>
          <w:rFonts w:hint="default"/>
          <w:b/>
          <w:bCs/>
          <w:color w:val="000000" w:themeColor="text1"/>
          <w:kern w:val="0"/>
          <w:sz w:val="22"/>
          <w:szCs w:val="22"/>
          <w:lang w:val="pt-BR"/>
          <w14:textFill>
            <w14:solidFill>
              <w14:schemeClr w14:val="tx1"/>
            </w14:solidFill>
          </w14:textFill>
        </w:rPr>
        <w:t>Registro de preços para futura e eventual contratação de empresa especializada no fornecimento e instalação de telhas, calhas, rufos e cumeeiras, incluindo mão de obra, para a Câmara Municipal de Primavera do Leste -  MT</w:t>
      </w:r>
      <w:r>
        <w:rPr>
          <w:rFonts w:hint="default" w:cs="Times New Roman"/>
          <w:b/>
          <w:bCs/>
          <w:kern w:val="0"/>
          <w:sz w:val="21"/>
          <w:szCs w:val="21"/>
          <w:lang w:val="pt-BR" w:eastAsia="zh-CN" w:bidi="ar"/>
        </w:rPr>
        <w:t>.</w:t>
      </w:r>
    </w:p>
    <w:p w14:paraId="5EE856AD">
      <w:pPr>
        <w:pStyle w:val="68"/>
        <w:numPr>
          <w:ilvl w:val="0"/>
          <w:numId w:val="13"/>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 xml:space="preserve">ÓRGÃOS GERENCIADOR E PARTICIPANTES </w:t>
      </w:r>
    </w:p>
    <w:p w14:paraId="0B9F0E2C">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 xml:space="preserve">O ÓRGÃO GERENCIADOR da presente Ata de Registro de Preço - ARP será a Câmara Municipal de Primavera do Leste - MT, já identificado no preâmbulo. </w:t>
      </w:r>
    </w:p>
    <w:p w14:paraId="3CEEEBD0">
      <w:pPr>
        <w:pStyle w:val="68"/>
        <w:numPr>
          <w:ilvl w:val="0"/>
          <w:numId w:val="13"/>
        </w:numPr>
        <w:tabs>
          <w:tab w:val="left" w:pos="480"/>
        </w:tabs>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REGISTROS FORMALIZADOS</w:t>
      </w:r>
    </w:p>
    <w:p w14:paraId="68A31B5B">
      <w:pPr>
        <w:pStyle w:val="68"/>
        <w:numPr>
          <w:ilvl w:val="1"/>
          <w:numId w:val="13"/>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A presente ARP estabelece as cláusulas e condições gerais para o</w:t>
      </w:r>
      <w:r>
        <w:rPr>
          <w:rFonts w:hint="default" w:cs="Times New Roman"/>
          <w:sz w:val="21"/>
          <w:szCs w:val="21"/>
          <w:lang w:val="en-US" w:eastAsia="pt-BR"/>
        </w:rPr>
        <w:t xml:space="preserve"> </w:t>
      </w:r>
      <w:r>
        <w:rPr>
          <w:rStyle w:val="53"/>
          <w:rFonts w:hint="default"/>
          <w:b/>
          <w:bCs/>
          <w:color w:val="000000" w:themeColor="text1"/>
          <w:kern w:val="0"/>
          <w:sz w:val="22"/>
          <w:szCs w:val="22"/>
          <w:lang w:val="pt-BR"/>
          <w14:textFill>
            <w14:solidFill>
              <w14:schemeClr w14:val="tx1"/>
            </w14:solidFill>
          </w14:textFill>
        </w:rPr>
        <w:t>Registro de preços para futura e eventual contratação de empresa especializada no fornecimento e instalação de telhas, calhas, rufos e cumeeiras, incluindo mão de obra, para a Câmara Municipal de Primavera do Leste -  MT</w:t>
      </w:r>
      <w:r>
        <w:rPr>
          <w:rFonts w:ascii="Times New Roman" w:hAnsi="Times New Roman" w:cs="Times New Roman"/>
          <w:sz w:val="21"/>
          <w:szCs w:val="21"/>
          <w:lang w:eastAsia="pt-BR"/>
        </w:rPr>
        <w:t>, cujas especificações, preço(s), marca(s)/modelo(s), quantitativo(s) e fornecedor(es) foram previamente definidos por meio do procedimento licitatório supracitado.</w:t>
      </w:r>
    </w:p>
    <w:p w14:paraId="5CC9A7CC">
      <w:pPr>
        <w:pStyle w:val="68"/>
        <w:numPr>
          <w:ilvl w:val="0"/>
          <w:numId w:val="13"/>
        </w:numPr>
        <w:tabs>
          <w:tab w:val="left" w:pos="480"/>
        </w:tabs>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DOS PREÇOS, ESPECIFICAÇÕES E QUANTITATIVOS</w:t>
      </w:r>
    </w:p>
    <w:p w14:paraId="6DBE170D">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 xml:space="preserve">O preço registrado, as especificações do objeto, as quantidades mínimas e máximas de cada item, fornecedor(es) e as demais condições ofertadas na(s) proposta(s) são as que seguem: </w:t>
      </w:r>
    </w:p>
    <w:tbl>
      <w:tblPr>
        <w:tblStyle w:val="14"/>
        <w:tblW w:w="5000" w:type="pct"/>
        <w:tblInd w:w="0" w:type="dxa"/>
        <w:tblLayout w:type="fixed"/>
        <w:tblCellMar>
          <w:top w:w="0" w:type="dxa"/>
          <w:left w:w="28" w:type="dxa"/>
          <w:bottom w:w="0" w:type="dxa"/>
          <w:right w:w="28" w:type="dxa"/>
        </w:tblCellMar>
      </w:tblPr>
      <w:tblGrid>
        <w:gridCol w:w="646"/>
        <w:gridCol w:w="4448"/>
        <w:gridCol w:w="883"/>
        <w:gridCol w:w="708"/>
        <w:gridCol w:w="1049"/>
        <w:gridCol w:w="1253"/>
      </w:tblGrid>
      <w:tr w14:paraId="0111569B">
        <w:tblPrEx>
          <w:tblCellMar>
            <w:top w:w="0" w:type="dxa"/>
            <w:left w:w="28" w:type="dxa"/>
            <w:bottom w:w="0" w:type="dxa"/>
            <w:right w:w="28" w:type="dxa"/>
          </w:tblCellMar>
        </w:tblPrEx>
        <w:tc>
          <w:tcPr>
            <w:tcW w:w="8930" w:type="dxa"/>
            <w:gridSpan w:val="6"/>
            <w:tcBorders>
              <w:top w:val="single" w:color="000000" w:sz="4" w:space="0"/>
              <w:left w:val="single" w:color="000000" w:sz="4" w:space="0"/>
              <w:bottom w:val="single" w:color="000000" w:sz="4" w:space="0"/>
              <w:right w:val="single" w:color="000000" w:sz="4" w:space="0"/>
            </w:tcBorders>
            <w:shd w:val="clear" w:color="auto" w:fill="A5A5A5" w:themeFill="background1" w:themeFillShade="A6"/>
            <w:vAlign w:val="center"/>
          </w:tcPr>
          <w:p w14:paraId="3B0A6A79">
            <w:pPr>
              <w:tabs>
                <w:tab w:val="left" w:pos="3001"/>
              </w:tabs>
              <w:spacing w:before="0" w:after="0" w:line="240" w:lineRule="auto"/>
              <w:rPr>
                <w:rFonts w:ascii="Times New Roman" w:hAnsi="Times New Roman"/>
                <w:sz w:val="21"/>
                <w:szCs w:val="21"/>
                <w:highlight w:val="none"/>
              </w:rPr>
            </w:pPr>
            <w:r>
              <w:rPr>
                <w:rFonts w:ascii="Times New Roman" w:hAnsi="Times New Roman" w:cs="Times New Roman"/>
                <w:sz w:val="21"/>
                <w:szCs w:val="21"/>
                <w:highlight w:val="none"/>
                <w:lang w:eastAsia="pt-BR"/>
              </w:rPr>
              <w:t>Empresa: XXXXXXXXXXXX - CNPJ: XXXXXXXXXXX</w:t>
            </w:r>
          </w:p>
          <w:p w14:paraId="7FD91E21">
            <w:pPr>
              <w:tabs>
                <w:tab w:val="left" w:pos="3001"/>
              </w:tabs>
              <w:spacing w:before="0" w:after="0" w:line="240" w:lineRule="auto"/>
              <w:rPr>
                <w:rFonts w:ascii="Times New Roman" w:hAnsi="Times New Roman"/>
                <w:sz w:val="21"/>
                <w:szCs w:val="21"/>
                <w:highlight w:val="none"/>
              </w:rPr>
            </w:pPr>
            <w:r>
              <w:rPr>
                <w:rFonts w:ascii="Times New Roman" w:hAnsi="Times New Roman" w:cs="Times New Roman"/>
                <w:sz w:val="21"/>
                <w:szCs w:val="21"/>
                <w:highlight w:val="none"/>
                <w:lang w:eastAsia="pt-BR"/>
              </w:rPr>
              <w:t>Representante Legal: XXXXXXXXX</w:t>
            </w:r>
          </w:p>
          <w:p w14:paraId="4E99A4E1">
            <w:pPr>
              <w:tabs>
                <w:tab w:val="left" w:pos="3001"/>
              </w:tabs>
              <w:spacing w:before="0" w:after="0" w:line="240" w:lineRule="auto"/>
              <w:rPr>
                <w:rFonts w:ascii="Times New Roman" w:hAnsi="Times New Roman"/>
                <w:sz w:val="21"/>
                <w:szCs w:val="21"/>
                <w:highlight w:val="none"/>
              </w:rPr>
            </w:pPr>
            <w:r>
              <w:rPr>
                <w:rFonts w:ascii="Times New Roman" w:hAnsi="Times New Roman" w:cs="Times New Roman"/>
                <w:sz w:val="21"/>
                <w:szCs w:val="21"/>
                <w:highlight w:val="none"/>
                <w:lang w:eastAsia="pt-BR"/>
              </w:rPr>
              <w:t>Telefone: (XX) XXXX-XXXX - E-mail: XXX</w:t>
            </w:r>
          </w:p>
          <w:p w14:paraId="698A3CF0">
            <w:pPr>
              <w:spacing w:before="0" w:after="0" w:line="240" w:lineRule="auto"/>
              <w:rPr>
                <w:rFonts w:ascii="Times New Roman" w:hAnsi="Times New Roman"/>
                <w:sz w:val="21"/>
                <w:szCs w:val="21"/>
                <w:highlight w:val="none"/>
              </w:rPr>
            </w:pPr>
            <w:r>
              <w:rPr>
                <w:rFonts w:ascii="Times New Roman" w:hAnsi="Times New Roman" w:cs="Times New Roman"/>
                <w:sz w:val="21"/>
                <w:szCs w:val="21"/>
                <w:highlight w:val="none"/>
                <w:lang w:eastAsia="pt-BR"/>
              </w:rPr>
              <w:t>Endereço: XXX</w:t>
            </w:r>
          </w:p>
        </w:tc>
      </w:tr>
      <w:tr w14:paraId="46A08213">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8D46410">
            <w:pPr>
              <w:spacing w:before="0" w:after="0" w:line="240" w:lineRule="auto"/>
              <w:jc w:val="center"/>
              <w:rPr>
                <w:rFonts w:ascii="Times New Roman" w:hAnsi="Times New Roman"/>
                <w:sz w:val="21"/>
                <w:szCs w:val="21"/>
              </w:rPr>
            </w:pPr>
            <w:r>
              <w:rPr>
                <w:rFonts w:ascii="Times New Roman" w:hAnsi="Times New Roman" w:cs="Times New Roman"/>
                <w:b/>
                <w:bCs/>
                <w:sz w:val="21"/>
                <w:szCs w:val="21"/>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94A3766">
            <w:pPr>
              <w:spacing w:before="0" w:after="0" w:line="240" w:lineRule="auto"/>
              <w:jc w:val="center"/>
              <w:rPr>
                <w:rFonts w:ascii="Times New Roman" w:hAnsi="Times New Roman"/>
                <w:sz w:val="21"/>
                <w:szCs w:val="21"/>
              </w:rPr>
            </w:pPr>
            <w:r>
              <w:rPr>
                <w:rFonts w:ascii="Times New Roman" w:hAnsi="Times New Roman" w:cs="Times New Roman"/>
                <w:b/>
                <w:bCs/>
                <w:sz w:val="21"/>
                <w:szCs w:val="21"/>
              </w:rPr>
              <w:t>Descrição</w:t>
            </w:r>
          </w:p>
        </w:tc>
        <w:tc>
          <w:tcPr>
            <w:tcW w:w="8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67F69884">
            <w:pPr>
              <w:spacing w:before="0" w:after="0" w:line="240" w:lineRule="auto"/>
              <w:jc w:val="center"/>
              <w:rPr>
                <w:rFonts w:ascii="Times New Roman" w:hAnsi="Times New Roman"/>
                <w:sz w:val="21"/>
                <w:szCs w:val="21"/>
              </w:rPr>
            </w:pPr>
            <w:r>
              <w:rPr>
                <w:rFonts w:ascii="Times New Roman" w:hAnsi="Times New Roman" w:cs="Times New Roman"/>
                <w:b/>
                <w:bCs/>
                <w:sz w:val="21"/>
                <w:szCs w:val="21"/>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665EE4C5">
            <w:pPr>
              <w:spacing w:before="0" w:after="0" w:line="240" w:lineRule="auto"/>
              <w:jc w:val="center"/>
              <w:rPr>
                <w:rFonts w:ascii="Times New Roman" w:hAnsi="Times New Roman"/>
                <w:sz w:val="21"/>
                <w:szCs w:val="21"/>
              </w:rPr>
            </w:pPr>
            <w:r>
              <w:rPr>
                <w:rFonts w:ascii="Times New Roman" w:hAnsi="Times New Roman" w:cs="Times New Roman"/>
                <w:b/>
                <w:bCs/>
                <w:sz w:val="21"/>
                <w:szCs w:val="21"/>
              </w:rPr>
              <w:t>Qtde</w:t>
            </w:r>
          </w:p>
        </w:tc>
        <w:tc>
          <w:tcPr>
            <w:tcW w:w="10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3B5C195D">
            <w:pPr>
              <w:spacing w:before="0" w:after="0" w:line="240" w:lineRule="auto"/>
              <w:jc w:val="center"/>
              <w:rPr>
                <w:rFonts w:ascii="Times New Roman" w:hAnsi="Times New Roman"/>
                <w:sz w:val="21"/>
                <w:szCs w:val="21"/>
              </w:rPr>
            </w:pPr>
            <w:r>
              <w:rPr>
                <w:rFonts w:ascii="Times New Roman" w:hAnsi="Times New Roman" w:cs="Times New Roman"/>
                <w:b/>
                <w:bCs/>
                <w:sz w:val="21"/>
                <w:szCs w:val="21"/>
              </w:rPr>
              <w:t>Preço</w:t>
            </w:r>
          </w:p>
          <w:p w14:paraId="4B65D700">
            <w:pPr>
              <w:spacing w:before="0" w:after="0" w:line="240" w:lineRule="auto"/>
              <w:jc w:val="center"/>
              <w:rPr>
                <w:rFonts w:ascii="Times New Roman" w:hAnsi="Times New Roman"/>
                <w:sz w:val="21"/>
                <w:szCs w:val="21"/>
              </w:rPr>
            </w:pPr>
            <w:r>
              <w:rPr>
                <w:rFonts w:ascii="Times New Roman" w:hAnsi="Times New Roman" w:cs="Times New Roman"/>
                <w:b/>
                <w:bCs/>
                <w:sz w:val="21"/>
                <w:szCs w:val="21"/>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254DA4F3">
            <w:pPr>
              <w:spacing w:before="0" w:after="0" w:line="240" w:lineRule="auto"/>
              <w:jc w:val="center"/>
              <w:rPr>
                <w:rFonts w:ascii="Times New Roman" w:hAnsi="Times New Roman"/>
                <w:sz w:val="21"/>
                <w:szCs w:val="21"/>
              </w:rPr>
            </w:pPr>
            <w:r>
              <w:rPr>
                <w:rFonts w:ascii="Times New Roman" w:hAnsi="Times New Roman" w:cs="Times New Roman"/>
                <w:b/>
                <w:sz w:val="21"/>
                <w:szCs w:val="21"/>
              </w:rPr>
              <w:t>Preço</w:t>
            </w:r>
          </w:p>
          <w:p w14:paraId="1DBA43CB">
            <w:pPr>
              <w:spacing w:before="0" w:after="0" w:line="240" w:lineRule="auto"/>
              <w:jc w:val="center"/>
              <w:rPr>
                <w:rFonts w:ascii="Times New Roman" w:hAnsi="Times New Roman"/>
                <w:sz w:val="21"/>
                <w:szCs w:val="21"/>
              </w:rPr>
            </w:pPr>
            <w:r>
              <w:rPr>
                <w:rFonts w:ascii="Times New Roman" w:hAnsi="Times New Roman" w:cs="Times New Roman"/>
                <w:b/>
                <w:sz w:val="21"/>
                <w:szCs w:val="21"/>
              </w:rPr>
              <w:t>Total</w:t>
            </w:r>
          </w:p>
        </w:tc>
      </w:tr>
      <w:tr w14:paraId="527990B6">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14:paraId="3127E4D2">
            <w:pPr>
              <w:spacing w:before="0" w:after="0" w:line="240" w:lineRule="auto"/>
              <w:rPr>
                <w:rFonts w:ascii="Times New Roman" w:hAnsi="Times New Roman"/>
                <w:sz w:val="21"/>
                <w:szCs w:val="21"/>
                <w:highlight w:val="none"/>
              </w:rPr>
            </w:pPr>
            <w:r>
              <w:rPr>
                <w:rFonts w:ascii="Times New Roman" w:hAnsi="Times New Roman" w:cs="Times New Roman"/>
                <w:color w:val="000000"/>
                <w:sz w:val="21"/>
                <w:szCs w:val="21"/>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14:paraId="57D9FE15">
            <w:pPr>
              <w:spacing w:before="0" w:after="0" w:line="240" w:lineRule="auto"/>
              <w:jc w:val="both"/>
              <w:rPr>
                <w:rFonts w:ascii="Times New Roman" w:hAnsi="Times New Roman"/>
                <w:sz w:val="21"/>
                <w:szCs w:val="21"/>
                <w:highlight w:val="none"/>
              </w:rPr>
            </w:pPr>
            <w:r>
              <w:rPr>
                <w:rFonts w:ascii="Times New Roman" w:hAnsi="Times New Roman" w:eastAsia="Times New Roman" w:cs="Times New Roman"/>
                <w:color w:val="000000"/>
                <w:sz w:val="21"/>
                <w:szCs w:val="21"/>
                <w:highlight w:val="none"/>
                <w:lang w:eastAsia="pt-BR"/>
              </w:rPr>
              <w:t>XXX</w:t>
            </w:r>
          </w:p>
        </w:tc>
        <w:tc>
          <w:tcPr>
            <w:tcW w:w="877" w:type="dxa"/>
            <w:tcBorders>
              <w:top w:val="single" w:color="000000" w:sz="4" w:space="0"/>
              <w:left w:val="single" w:color="000000" w:sz="4" w:space="0"/>
              <w:bottom w:val="single" w:color="000000" w:sz="4" w:space="0"/>
              <w:right w:val="single" w:color="000000" w:sz="4" w:space="0"/>
            </w:tcBorders>
          </w:tcPr>
          <w:p w14:paraId="148BF6D3">
            <w:pPr>
              <w:spacing w:before="0" w:after="0" w:line="240" w:lineRule="auto"/>
              <w:jc w:val="both"/>
              <w:rPr>
                <w:rFonts w:ascii="Times New Roman" w:hAnsi="Times New Roman"/>
                <w:sz w:val="21"/>
                <w:szCs w:val="21"/>
                <w:highlight w:val="none"/>
              </w:rPr>
            </w:pPr>
            <w:r>
              <w:rPr>
                <w:rFonts w:ascii="Times New Roman" w:hAnsi="Times New Roman" w:eastAsia="Times New Roman" w:cs="Times New Roman"/>
                <w:color w:val="000000"/>
                <w:sz w:val="21"/>
                <w:szCs w:val="21"/>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14:paraId="61DE327A">
            <w:pPr>
              <w:spacing w:before="0" w:after="0" w:line="240" w:lineRule="auto"/>
              <w:rPr>
                <w:rFonts w:ascii="Times New Roman" w:hAnsi="Times New Roman"/>
                <w:sz w:val="21"/>
                <w:szCs w:val="21"/>
                <w:highlight w:val="none"/>
              </w:rPr>
            </w:pPr>
            <w:r>
              <w:rPr>
                <w:rFonts w:ascii="Times New Roman" w:hAnsi="Times New Roman" w:cs="Times New Roman"/>
                <w:bCs/>
                <w:sz w:val="21"/>
                <w:szCs w:val="21"/>
                <w:highlight w:val="none"/>
              </w:rPr>
              <w:t>XXX</w:t>
            </w:r>
          </w:p>
        </w:tc>
        <w:tc>
          <w:tcPr>
            <w:tcW w:w="1042" w:type="dxa"/>
            <w:tcBorders>
              <w:top w:val="single" w:color="000000" w:sz="4" w:space="0"/>
              <w:left w:val="single" w:color="000000" w:sz="4" w:space="0"/>
              <w:bottom w:val="single" w:color="000000" w:sz="4" w:space="0"/>
              <w:right w:val="single" w:color="000000" w:sz="4" w:space="0"/>
            </w:tcBorders>
          </w:tcPr>
          <w:p w14:paraId="0D1819CE">
            <w:pPr>
              <w:spacing w:before="0" w:after="0" w:line="240" w:lineRule="auto"/>
              <w:jc w:val="both"/>
              <w:rPr>
                <w:rFonts w:ascii="Times New Roman" w:hAnsi="Times New Roman"/>
                <w:sz w:val="21"/>
                <w:szCs w:val="21"/>
                <w:highlight w:val="none"/>
              </w:rPr>
            </w:pPr>
            <w:r>
              <w:rPr>
                <w:rFonts w:ascii="Times New Roman" w:hAnsi="Times New Roman" w:eastAsia="Arial" w:cs="Times New Roman"/>
                <w:color w:val="000000"/>
                <w:sz w:val="21"/>
                <w:szCs w:val="21"/>
                <w:highlight w:val="none"/>
              </w:rPr>
              <w:t>R$ XXXX</w:t>
            </w:r>
          </w:p>
        </w:tc>
        <w:tc>
          <w:tcPr>
            <w:tcW w:w="1245" w:type="dxa"/>
            <w:tcBorders>
              <w:top w:val="single" w:color="000000" w:sz="4" w:space="0"/>
              <w:left w:val="single" w:color="000000" w:sz="4" w:space="0"/>
              <w:bottom w:val="single" w:color="000000" w:sz="4" w:space="0"/>
              <w:right w:val="single" w:color="000000" w:sz="4" w:space="0"/>
            </w:tcBorders>
          </w:tcPr>
          <w:p w14:paraId="526A1667">
            <w:pPr>
              <w:spacing w:before="0" w:after="0" w:line="240" w:lineRule="auto"/>
              <w:jc w:val="both"/>
              <w:rPr>
                <w:rFonts w:ascii="Times New Roman" w:hAnsi="Times New Roman"/>
                <w:sz w:val="21"/>
                <w:szCs w:val="21"/>
                <w:highlight w:val="none"/>
              </w:rPr>
            </w:pPr>
            <w:r>
              <w:rPr>
                <w:rFonts w:ascii="Times New Roman" w:hAnsi="Times New Roman" w:eastAsia="Arial" w:cs="Times New Roman"/>
                <w:color w:val="000000"/>
                <w:sz w:val="21"/>
                <w:szCs w:val="21"/>
                <w:highlight w:val="none"/>
              </w:rPr>
              <w:t>R$ XXXXX</w:t>
            </w:r>
          </w:p>
        </w:tc>
      </w:tr>
    </w:tbl>
    <w:p w14:paraId="1F518DD1">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fornecedor obriga-se ao cumprimento de todos os encargos estabelecidos na presente ARP, nos exatos termos do resultado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14:paraId="1EB10C85">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Termo de Referência contendo as especificações técnicas completas e todas as condições gerais de execução do objeto;</w:t>
      </w:r>
    </w:p>
    <w:p w14:paraId="207BE7AF">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Proposta(s) comercial(is) do(s) particular(es) cujo(s) preço(s) conta(m) registrado(s);</w:t>
      </w:r>
    </w:p>
    <w:p w14:paraId="152D1849">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 xml:space="preserve">Edital do  </w:t>
      </w:r>
      <w:r>
        <w:rPr>
          <w:rFonts w:cs="Times New Roman"/>
          <w:sz w:val="21"/>
          <w:szCs w:val="21"/>
          <w:lang w:eastAsia="pt-BR"/>
        </w:rPr>
        <w:t xml:space="preserve">Pregão Eletrônico  nº </w:t>
      </w:r>
      <w:r>
        <w:rPr>
          <w:rFonts w:hint="default" w:cs="Times New Roman"/>
          <w:sz w:val="21"/>
          <w:szCs w:val="21"/>
          <w:lang w:val="en-US" w:eastAsia="pt-BR"/>
        </w:rPr>
        <w:t>17</w:t>
      </w:r>
      <w:r>
        <w:rPr>
          <w:rFonts w:cs="Times New Roman"/>
          <w:sz w:val="21"/>
          <w:szCs w:val="21"/>
          <w:lang w:eastAsia="pt-BR"/>
        </w:rPr>
        <w:t>/2024</w:t>
      </w:r>
      <w:r>
        <w:rPr>
          <w:rFonts w:ascii="Times New Roman" w:hAnsi="Times New Roman" w:cs="Times New Roman"/>
          <w:sz w:val="21"/>
          <w:szCs w:val="21"/>
          <w:lang w:eastAsia="pt-BR"/>
        </w:rPr>
        <w:t>.</w:t>
      </w:r>
    </w:p>
    <w:p w14:paraId="2D42E4DB">
      <w:pPr>
        <w:pStyle w:val="68"/>
        <w:numPr>
          <w:ilvl w:val="0"/>
          <w:numId w:val="13"/>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VIGÊNCIA DA ARP</w:t>
      </w:r>
    </w:p>
    <w:p w14:paraId="68014F40">
      <w:pPr>
        <w:pStyle w:val="68"/>
        <w:numPr>
          <w:ilvl w:val="1"/>
          <w:numId w:val="13"/>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O prazo de vigência da ata de registro de preços será de 1 (um) ano, contado do primeiro dia útil subsequente à data de divulgação no PNCP (</w:t>
      </w:r>
      <w:r>
        <w:rPr>
          <w:sz w:val="21"/>
          <w:szCs w:val="21"/>
        </w:rPr>
        <w:fldChar w:fldCharType="begin"/>
      </w:r>
      <w:r>
        <w:rPr>
          <w:sz w:val="21"/>
          <w:szCs w:val="21"/>
        </w:rPr>
        <w:instrText xml:space="preserve"> HYPERLINK "https://pncp.gov.br/" \h </w:instrText>
      </w:r>
      <w:r>
        <w:rPr>
          <w:sz w:val="21"/>
          <w:szCs w:val="21"/>
        </w:rPr>
        <w:fldChar w:fldCharType="separate"/>
      </w:r>
      <w:r>
        <w:rPr>
          <w:rStyle w:val="62"/>
          <w:rFonts w:ascii="Times New Roman" w:hAnsi="Times New Roman"/>
          <w:sz w:val="21"/>
          <w:szCs w:val="21"/>
          <w:lang w:eastAsia="pt-BR"/>
        </w:rPr>
        <w:t>https://pncp.gov.br/</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e poderá ser prorrogado por igual período, desde que comprovado que o preço é vantajoso.</w:t>
      </w:r>
    </w:p>
    <w:p w14:paraId="28192BE1">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 prorrogação da vigência da ARP dependerá da concordância das partes e de comprovação da vantajosidade dos preços.</w:t>
      </w:r>
    </w:p>
    <w:p w14:paraId="67B7E0B3">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 prorrogação da vigência da ARP será registrada mediante termo de prorrogação pactuado pelas partes nos autos de gestão da ARP.</w:t>
      </w:r>
    </w:p>
    <w:p w14:paraId="6FB86987">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 prorrogação da vigência da ARP deverá ser publicada e divulgada nos meios oficiais de publicação e divulgação.</w:t>
      </w:r>
    </w:p>
    <w:p w14:paraId="5FDB8864">
      <w:pPr>
        <w:pStyle w:val="68"/>
        <w:numPr>
          <w:ilvl w:val="0"/>
          <w:numId w:val="13"/>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CONTRATAÇÕES FUTURAS</w:t>
      </w:r>
    </w:p>
    <w:p w14:paraId="4485BBD6">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w:t>
      </w:r>
    </w:p>
    <w:p w14:paraId="2CABC703">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intermédio de apostilamento e publicado.</w:t>
      </w:r>
    </w:p>
    <w:p w14:paraId="080C6419">
      <w:pPr>
        <w:pStyle w:val="68"/>
        <w:numPr>
          <w:ilvl w:val="1"/>
          <w:numId w:val="13"/>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 xml:space="preserve">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"art82"</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82, § 2º, da 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w:t>
      </w:r>
    </w:p>
    <w:p w14:paraId="53E58917">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 xml:space="preserve">A contratação decorrente deverá observar as condições fixadas no Edital de Licitação referente ao  </w:t>
      </w:r>
      <w:r>
        <w:rPr>
          <w:rFonts w:cs="Times New Roman"/>
          <w:sz w:val="21"/>
          <w:szCs w:val="21"/>
          <w:lang w:eastAsia="pt-BR"/>
        </w:rPr>
        <w:t>Pregão nº 012/2024</w:t>
      </w:r>
      <w:r>
        <w:rPr>
          <w:rFonts w:ascii="Times New Roman" w:hAnsi="Times New Roman" w:cs="Times New Roman"/>
          <w:sz w:val="21"/>
          <w:szCs w:val="21"/>
          <w:shd w:val="clear" w:fill="auto"/>
          <w:lang w:eastAsia="pt-BR"/>
        </w:rPr>
        <w:t xml:space="preserve"> </w:t>
      </w:r>
      <w:r>
        <w:rPr>
          <w:rFonts w:ascii="Times New Roman" w:hAnsi="Times New Roman" w:cs="Times New Roman"/>
          <w:sz w:val="21"/>
          <w:szCs w:val="21"/>
          <w:lang w:eastAsia="pt-BR"/>
        </w:rPr>
        <w:t>e seus anexos.</w:t>
      </w:r>
    </w:p>
    <w:p w14:paraId="7BEEA03B">
      <w:pPr>
        <w:pStyle w:val="68"/>
        <w:numPr>
          <w:ilvl w:val="0"/>
          <w:numId w:val="13"/>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VÍNCULOS DA ARP</w:t>
      </w:r>
    </w:p>
    <w:p w14:paraId="05325A38">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 existência desta ARP não obriga a Administração a contratar, facultando-se a realização de licitação específica para a aquisição pretendida, assegurada preferência ao fornecedor registrado em igualdade de condições.</w:t>
      </w:r>
    </w:p>
    <w:p w14:paraId="477C94E2">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w:t>
      </w:r>
      <w:r>
        <w:rPr>
          <w:rFonts w:cs="Times New Roman"/>
          <w:sz w:val="21"/>
          <w:szCs w:val="21"/>
          <w:lang w:eastAsia="pt-BR"/>
        </w:rPr>
        <w:t>Pregão nº 012/2024</w:t>
      </w:r>
      <w:r>
        <w:rPr>
          <w:rFonts w:ascii="Times New Roman" w:hAnsi="Times New Roman" w:cs="Times New Roman"/>
          <w:sz w:val="21"/>
          <w:szCs w:val="21"/>
          <w:shd w:val="clear" w:fill="auto"/>
          <w:lang w:eastAsia="pt-BR"/>
        </w:rPr>
        <w:t>.</w:t>
      </w:r>
    </w:p>
    <w:p w14:paraId="1D1B9372">
      <w:pPr>
        <w:pStyle w:val="68"/>
        <w:numPr>
          <w:ilvl w:val="0"/>
          <w:numId w:val="13"/>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ADESÃO DE ÓRGÃO OU ENTIDADE PÚBLICA NÃO PARTICIPANTE</w:t>
      </w:r>
    </w:p>
    <w:p w14:paraId="59CF6B16">
      <w:pPr>
        <w:pStyle w:val="68"/>
        <w:numPr>
          <w:ilvl w:val="1"/>
          <w:numId w:val="13"/>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 xml:space="preserve">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"art86"</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86, §§ 2º a 5º, da 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desde que observadas as disposições abaixo:</w:t>
      </w:r>
    </w:p>
    <w:p w14:paraId="0ECC2DEA">
      <w:pPr>
        <w:pStyle w:val="68"/>
        <w:numPr>
          <w:ilvl w:val="2"/>
          <w:numId w:val="13"/>
        </w:numPr>
        <w:tabs>
          <w:tab w:val="left" w:pos="1134"/>
          <w:tab w:val="left" w:pos="3001"/>
        </w:tabs>
        <w:spacing w:before="120" w:after="120" w:line="240" w:lineRule="auto"/>
        <w:contextualSpacing w:val="0"/>
        <w:jc w:val="both"/>
        <w:rPr>
          <w:sz w:val="21"/>
          <w:szCs w:val="21"/>
        </w:rPr>
      </w:pPr>
      <w:r>
        <w:rPr>
          <w:rFonts w:ascii="Times New Roman" w:hAnsi="Times New Roman" w:cs="Times New Roman"/>
          <w:sz w:val="21"/>
          <w:szCs w:val="21"/>
          <w:lang w:eastAsia="pt-BR"/>
        </w:rPr>
        <w:t>O órgão ou entidade pública interessado na adesão deverá consultar prévia e diretamente o fornecedor titular da ARP, visando obter a concordância formal com a contratação pretendida.</w:t>
      </w:r>
    </w:p>
    <w:p w14:paraId="0AF4840D">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É faculdade do fornecedor titular da ARP, observadas as condições nela estabelecidas, a aceitação ou não da contratação decorrente de adesão, independentemente de qualquer justificativa formal.</w:t>
      </w:r>
    </w:p>
    <w:p w14:paraId="1D7294F2">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Cabe ao órgão ou entidade aderente encaminhar ao GERENCIADOR a concordância do fornecedor.</w:t>
      </w:r>
    </w:p>
    <w:p w14:paraId="77D7248A">
      <w:pPr>
        <w:pStyle w:val="68"/>
        <w:numPr>
          <w:ilvl w:val="2"/>
          <w:numId w:val="13"/>
        </w:numPr>
        <w:tabs>
          <w:tab w:val="left" w:pos="1134"/>
          <w:tab w:val="left" w:pos="3001"/>
        </w:tabs>
        <w:spacing w:before="120" w:after="120" w:line="240" w:lineRule="auto"/>
        <w:contextualSpacing w:val="0"/>
        <w:jc w:val="both"/>
        <w:rPr>
          <w:sz w:val="21"/>
          <w:szCs w:val="21"/>
        </w:rPr>
      </w:pPr>
      <w:r>
        <w:rPr>
          <w:rFonts w:ascii="Times New Roman" w:hAnsi="Times New Roman" w:cs="Times New Roman"/>
          <w:sz w:val="21"/>
          <w:szCs w:val="21"/>
          <w:lang w:eastAsia="pt-BR"/>
        </w:rPr>
        <w:t xml:space="preserve">Proceder à consulta formal ao GERENCIADOR, por meio de ofício ou outro expediente competente, encaminhado para o e-mail institucional </w:t>
      </w:r>
      <w:r>
        <w:rPr>
          <w:sz w:val="21"/>
          <w:szCs w:val="21"/>
        </w:rPr>
        <w:fldChar w:fldCharType="begin"/>
      </w:r>
      <w:r>
        <w:rPr>
          <w:sz w:val="21"/>
          <w:szCs w:val="21"/>
        </w:rPr>
        <w:instrText xml:space="preserve"> HYPERLINK "mailto:compras@primaveradoleste.mt.leg.br" \h </w:instrText>
      </w:r>
      <w:r>
        <w:rPr>
          <w:sz w:val="21"/>
          <w:szCs w:val="21"/>
        </w:rPr>
        <w:fldChar w:fldCharType="separate"/>
      </w:r>
      <w:r>
        <w:rPr>
          <w:rStyle w:val="62"/>
          <w:rFonts w:ascii="Times New Roman" w:hAnsi="Times New Roman"/>
          <w:sz w:val="21"/>
          <w:szCs w:val="21"/>
          <w:lang w:eastAsia="pt-BR"/>
        </w:rPr>
        <w:t>compras@primaveradoleste.mt.leg.br</w:t>
      </w:r>
      <w:r>
        <w:rPr>
          <w:rStyle w:val="62"/>
          <w:rFonts w:ascii="Times New Roman" w:hAnsi="Times New Roman"/>
          <w:sz w:val="21"/>
          <w:szCs w:val="21"/>
          <w:lang w:eastAsia="pt-BR"/>
        </w:rPr>
        <w:fldChar w:fldCharType="end"/>
      </w:r>
      <w:r>
        <w:rPr>
          <w:rFonts w:ascii="Times New Roman" w:hAnsi="Times New Roman" w:cs="Times New Roman"/>
          <w:sz w:val="21"/>
          <w:szCs w:val="21"/>
        </w:rPr>
        <w:t xml:space="preserve">, </w:t>
      </w:r>
      <w:r>
        <w:rPr>
          <w:rFonts w:ascii="Times New Roman" w:hAnsi="Times New Roman" w:cs="Times New Roman"/>
          <w:sz w:val="21"/>
          <w:szCs w:val="21"/>
          <w:lang w:eastAsia="pt-BR"/>
        </w:rPr>
        <w:t>no qual deverá constar o objeto que interessa contratar, o respectivo quantitativo pretendido e a concordância do fornecedor para fins de análise e manifestação sobre a possibilidade de adesão.</w:t>
      </w:r>
    </w:p>
    <w:p w14:paraId="306E2689">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 autorização do órgão gerenciador apenas será realizada após a aceitação da adesão pelo fornecedor, que poderá rejeitar adesões caso elas possam acarretar prejuízo à execução de seus próprios contratos ou à sua capacidade de gerenciamento.</w:t>
      </w:r>
    </w:p>
    <w:p w14:paraId="630399FF">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0CACD96E">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Após a autorização do órgão gerenciador, o órgão ou entidade não participante deverá efetivar a aquisição ou a contratação solicitada em até 90 (noventa) dias, observado o prazo de vigência da ata, sendo que esse prazo poderá ser prorrogado excepcionalmente, mediante solicitação do órgão ou da entidade não participante aceita pelo órgão gerenciador, desde que respeitado o limite temporal de vigência da ata de registro de preços.</w:t>
      </w:r>
    </w:p>
    <w:p w14:paraId="163F1DA4">
      <w:pPr>
        <w:pStyle w:val="68"/>
        <w:numPr>
          <w:ilvl w:val="0"/>
          <w:numId w:val="13"/>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LIMITES PARA ADESÕES</w:t>
      </w:r>
    </w:p>
    <w:p w14:paraId="6CDE61B5">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As aquisições ou contratações adicionais não poderão exceder, por órgão ou entidade, a 50% (cinquenta por cento) dos quantitativos dos itens do instrumento convocatório registrados na ata de registro de preços para o gerenciador e para os participantes.</w:t>
      </w:r>
    </w:p>
    <w:p w14:paraId="3558A268">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59817649">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30D466E1">
      <w:pPr>
        <w:pStyle w:val="68"/>
        <w:numPr>
          <w:ilvl w:val="1"/>
          <w:numId w:val="13"/>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 xml:space="preserve">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"art82"</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82, § 2º, da 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w:t>
      </w:r>
    </w:p>
    <w:p w14:paraId="171167F6">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Autorizada a utilização da ARP pelo Órgão Gerenciador, o órgão ou entidade pública não participante (aderente) apenas poderá realizar a contratação autorizada, caso estejam presentes os seguintes requisitos temporais conjuntamente:</w:t>
      </w:r>
    </w:p>
    <w:p w14:paraId="38DD0AB6">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Em até 90 (noventa) dias corridos, contados do recebimento da autorização, em razão da caducidade do ato, podendo o prazo ser prorrogado pelo ÓRGÃO GERENCIADOR, desde que solicitado pelo interessado e ainda vigente a ARP; e,</w:t>
      </w:r>
    </w:p>
    <w:p w14:paraId="4EDA31A9">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Apenas durante a vigência da presente ARP.</w:t>
      </w:r>
    </w:p>
    <w:p w14:paraId="0D2BDA1F">
      <w:pPr>
        <w:pStyle w:val="68"/>
        <w:numPr>
          <w:ilvl w:val="0"/>
          <w:numId w:val="13"/>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COMUNICAÇÃO AO GERENCIADOR</w:t>
      </w:r>
    </w:p>
    <w:p w14:paraId="3472ADA2">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Quando da realização efetiva da respectiva contratação por adesão, deverá o órgão ou entidade aderente informar ao GERENCIADOR, no prazo máximo de 5 (cinco) dias úteis, contados da contratação, a contratação para fins de registro definitivo.</w:t>
      </w:r>
    </w:p>
    <w:p w14:paraId="7A163B32">
      <w:pPr>
        <w:pStyle w:val="68"/>
        <w:numPr>
          <w:ilvl w:val="0"/>
          <w:numId w:val="13"/>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VEDAÇÃO A ACRÉSCIMO DE QUANTITATIVOS</w:t>
      </w:r>
    </w:p>
    <w:p w14:paraId="3020458A">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É vedado efetuar acréscimos nos quantitativos fixados na ata de registro de preços.</w:t>
      </w:r>
    </w:p>
    <w:p w14:paraId="52F5D24A">
      <w:pPr>
        <w:pStyle w:val="68"/>
        <w:numPr>
          <w:ilvl w:val="0"/>
          <w:numId w:val="13"/>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CONTRATAÇÃO DECORRENTE DA ARP</w:t>
      </w:r>
    </w:p>
    <w:p w14:paraId="18FC815F">
      <w:pPr>
        <w:pStyle w:val="68"/>
        <w:numPr>
          <w:ilvl w:val="1"/>
          <w:numId w:val="13"/>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 xml:space="preserve">A contratação com o(s) fornecedor(es) registrado(s) na ARP deverá ser formalizada no prazo de validade da Ata e será formalizada por intermédio da emissão de Instrumento de Contrato (Anexo V do </w:t>
      </w:r>
      <w:r>
        <w:rPr>
          <w:rFonts w:cs="Times New Roman"/>
          <w:sz w:val="21"/>
          <w:szCs w:val="21"/>
          <w:lang w:eastAsia="pt-BR"/>
        </w:rPr>
        <w:t>Edital do  Pregão nº 012/2024</w:t>
      </w:r>
      <w:r>
        <w:rPr>
          <w:rFonts w:ascii="Times New Roman" w:hAnsi="Times New Roman" w:cs="Times New Roman"/>
          <w:sz w:val="21"/>
          <w:szCs w:val="21"/>
          <w:shd w:val="clear" w:fill="auto"/>
          <w:lang w:eastAsia="pt-BR"/>
        </w:rPr>
        <w:t>)</w:t>
      </w:r>
      <w:r>
        <w:rPr>
          <w:rFonts w:ascii="Times New Roman" w:hAnsi="Times New Roman" w:cs="Times New Roman"/>
          <w:sz w:val="21"/>
          <w:szCs w:val="21"/>
          <w:lang w:eastAsia="pt-BR"/>
        </w:rPr>
        <w:t xml:space="preserve">, conforme 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"art95"</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95 da 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não havendo a formalização de Instrumento de Contrato.</w:t>
      </w:r>
    </w:p>
    <w:p w14:paraId="5624A903">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Na formalização da contratação deverá haver a indicação da disponibilidade dos créditos orçamentários respectivos.</w:t>
      </w:r>
    </w:p>
    <w:p w14:paraId="3E2EE6B5">
      <w:pPr>
        <w:pStyle w:val="68"/>
        <w:numPr>
          <w:ilvl w:val="1"/>
          <w:numId w:val="13"/>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 xml:space="preserve">As contratações decorrentes do sistema de registro de preços poderão ser alteradas, observado o disposto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"art124"</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arts. 124 a 136 da 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w:t>
      </w:r>
    </w:p>
    <w:p w14:paraId="76EE5AAF">
      <w:pPr>
        <w:pStyle w:val="68"/>
        <w:numPr>
          <w:ilvl w:val="0"/>
          <w:numId w:val="13"/>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ATRIBUIÇÕES DO GERENCIADOR DA ARP</w:t>
      </w:r>
    </w:p>
    <w:p w14:paraId="35A10FE3">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2768B539">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Cabe ao setor ou servidor designado do ÓRGÃO GERENCIADOR, conforme regulamento operacional interno, as atribuições inerentes ao gerenciamento da presente ARP, particularmente quanto a(ao):</w:t>
      </w:r>
    </w:p>
    <w:p w14:paraId="2DA92BD5">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Providenciar a elaboração e publicação da presente ARP;</w:t>
      </w:r>
    </w:p>
    <w:p w14:paraId="44B492F9">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Encaminhar ao(s) órgão(s) e/ou entidade(s) participantes a presente ARP, como também suas eventuais e posteriores alterações, devidamente assinadas e publicadas;</w:t>
      </w:r>
    </w:p>
    <w:p w14:paraId="62704C4C">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Controlar, de forma permanente, a utilização da ARP para fins de contratações, durante toda sua vigência;</w:t>
      </w:r>
    </w:p>
    <w:p w14:paraId="182B8A38">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w:t>
      </w:r>
    </w:p>
    <w:p w14:paraId="61EB205E">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770D6485">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Conduzir eventuais procedimentos de alterações dos preços registrados para fins de adequação às novas condições de mercado, observada a legislação vigente e jurisprudência do TCU;</w:t>
      </w:r>
    </w:p>
    <w:p w14:paraId="5A0DFDDD">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14:paraId="5068EDA4">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0CD23FCE">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Receber e registrar as contratações efetivamente realizadas pelos órgãos ou entidades aderentes, bem como eventuais sanções por estes aplicadas ao(s) particular(es) contratado(s) por descumprimento das obrigações assumidas na presente ARP;</w:t>
      </w:r>
    </w:p>
    <w:p w14:paraId="4A07D324">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Instruir os autos de gestão da presente ARP.</w:t>
      </w:r>
    </w:p>
    <w:p w14:paraId="32A4720B">
      <w:pPr>
        <w:pStyle w:val="68"/>
        <w:numPr>
          <w:ilvl w:val="0"/>
          <w:numId w:val="13"/>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ATRIBUIÇÕES DO PARTICIPANTE</w:t>
      </w:r>
    </w:p>
    <w:p w14:paraId="00D65A61">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Ao órgão ou entidade PARTICIPANTE compete:</w:t>
      </w:r>
    </w:p>
    <w:p w14:paraId="014D1AB4">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Tomar conhecimento da ARP, incluindo eventuais alterações, cancelamentos e revogações, a fim de utilizá-la de forma correta;</w:t>
      </w:r>
    </w:p>
    <w:p w14:paraId="248265DE">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Verificar a conformidade das condições registradas na ARP junto ao mercado local, informando ao ÓRGÃO GERENCIADOR eventuais desvantagens verificadas para fins de renegociação ou cancelamento;</w:t>
      </w:r>
    </w:p>
    <w:p w14:paraId="2277E33C">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Observar e controlar o quantitativo máximo dos itens registrados em seu interesse, evitando contratações acima do limite permitido, bem como a utilização de itens diversos daqueles para os quais solicitou participação no certame;</w:t>
      </w:r>
    </w:p>
    <w:p w14:paraId="6C9A592E">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Acompanhar e fiscalizar o fiel cumprimento das obrigações contidas no edital da licitação e na ARP, informando ao ÓRGÃO GERENCIADOR qualquer irregularidade ou inadimplemento do particular;</w:t>
      </w:r>
    </w:p>
    <w:p w14:paraId="3752BA31">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Aplicar, garantida a ampla defesa e o contraditório, as penalidades decorrentes do descumprimento das obrigações contratuais em relação às suas próprias contratações, informando as ocorrências ao ÓRGÃO GERENCIADOR.</w:t>
      </w:r>
    </w:p>
    <w:p w14:paraId="07A1BF2B">
      <w:pPr>
        <w:pStyle w:val="68"/>
        <w:numPr>
          <w:ilvl w:val="0"/>
          <w:numId w:val="13"/>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OBRIGAÇÕES DO FORNECEDOR</w:t>
      </w:r>
    </w:p>
    <w:p w14:paraId="47849D10">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FORNECEDOR cujo preço conste registrado na presente ARP obriga-se a:</w:t>
      </w:r>
    </w:p>
    <w:p w14:paraId="710D3892">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Retirar a respectiva nota de empenho no prazo máximo de 5 (cinco) dias úteis, contados da convocação;</w:t>
      </w:r>
    </w:p>
    <w:p w14:paraId="61F9F7AB">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Indicar, no prazo máximo de 5 (cinco) dias úteis,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14:paraId="038AB7E4">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73E3CA24">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 xml:space="preserve">Respeitar as demais condições e obrigações contidas nesta ARP e no Edital e Anexos do  </w:t>
      </w:r>
      <w:r>
        <w:rPr>
          <w:rFonts w:cs="Times New Roman"/>
          <w:sz w:val="21"/>
          <w:szCs w:val="21"/>
          <w:lang w:eastAsia="pt-BR"/>
        </w:rPr>
        <w:t>Pregão nº 012/2024</w:t>
      </w:r>
      <w:r>
        <w:rPr>
          <w:rFonts w:ascii="Times New Roman" w:hAnsi="Times New Roman" w:cs="Times New Roman"/>
          <w:sz w:val="21"/>
          <w:szCs w:val="21"/>
          <w:shd w:val="clear" w:fill="auto"/>
          <w:lang w:eastAsia="pt-BR"/>
        </w:rPr>
        <w:t>,</w:t>
      </w:r>
      <w:r>
        <w:rPr>
          <w:rFonts w:ascii="Times New Roman" w:hAnsi="Times New Roman" w:cs="Times New Roman"/>
          <w:sz w:val="21"/>
          <w:szCs w:val="21"/>
          <w:lang w:eastAsia="pt-BR"/>
        </w:rPr>
        <w:t xml:space="preserve"> ressalvada a ocorrência de fato(s) superveniente(s), comprovados(s) e aceito(s) pelo ÓRGÃO GERENCIADOR;</w:t>
      </w:r>
    </w:p>
    <w:p w14:paraId="5909148C">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Providenciar a imediata correção de deficiências, falhas ou irregularidades constatadas pela(s) CONTRATANTE(S) referentes às condições firmadas na presente ARP;</w:t>
      </w:r>
    </w:p>
    <w:p w14:paraId="5AEBAC7A">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Fornecer, sempre que solicitado, no prazo máximo de 5 (cinco) dias úteis, documentação de habilitação e qualificação cujas validades encontrem-se vencidas;</w:t>
      </w:r>
    </w:p>
    <w:p w14:paraId="2631D65D">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Prover condições que possibilitem o atendimento das obrigações firmadas a partir da data de homologação do procedimento licitatório;</w:t>
      </w:r>
    </w:p>
    <w:p w14:paraId="3680CBC2">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Ressarcir os eventuais prejuízos causados aos órgãos contratantes e/ou a terceiros, provocados por ineficiência ou irregularidades cometidas na execução das obrigações assumidas na ARP;</w:t>
      </w:r>
    </w:p>
    <w:p w14:paraId="2E460C53">
      <w:pPr>
        <w:pStyle w:val="68"/>
        <w:numPr>
          <w:ilvl w:val="2"/>
          <w:numId w:val="13"/>
        </w:numPr>
        <w:tabs>
          <w:tab w:val="left" w:pos="1276"/>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Responsabilizar-se pelos encargos trabalhistas, previdenciários, fiscais e comerciais resultantes da execução do contrato;</w:t>
      </w:r>
    </w:p>
    <w:p w14:paraId="2DE9D258">
      <w:pPr>
        <w:pStyle w:val="68"/>
        <w:numPr>
          <w:ilvl w:val="2"/>
          <w:numId w:val="13"/>
        </w:numPr>
        <w:tabs>
          <w:tab w:val="left" w:pos="1276"/>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Manter, durante a vigência da presente ata, em compatibilidade com as obrigações assumidas na proposta, todas as condições de participação e de habilitação exigidas na licitação.</w:t>
      </w:r>
    </w:p>
    <w:p w14:paraId="6DA9AE72">
      <w:pPr>
        <w:pStyle w:val="68"/>
        <w:numPr>
          <w:ilvl w:val="0"/>
          <w:numId w:val="13"/>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CADASTRO RESERVA DE FORNECEDORES</w:t>
      </w:r>
    </w:p>
    <w:p w14:paraId="3926ED52">
      <w:pPr>
        <w:pStyle w:val="68"/>
        <w:numPr>
          <w:ilvl w:val="1"/>
          <w:numId w:val="13"/>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 xml:space="preserve">Conforme consta no ANEXO A, também fica FORMALIZADO, conjuntamente com a presente ARP, CADASTRO RESERVA de licitante(es) interessado(s) em eventualmente assumir a titularidade do registro de preços, havendo CANCELAMENTO da ARP e segundo a ordem de classificação final no certame, POR GRUPO DO OBJETO, nos termos fixados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"art82"</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82, VII, e § 5º, VI, da 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w:t>
      </w:r>
    </w:p>
    <w:p w14:paraId="35D29A89">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 formação de CADASTRO RESERVA vincula o(s) licitante(s) ao(s) preço(s) da proposta do titular, obrigando-se a assumir a titularidade em caso de cancelamento do registro do titular, observada a ORDEM DE CLASSIFICAÇÃO.</w:t>
      </w:r>
    </w:p>
    <w:p w14:paraId="431EAAD4">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63CF5036">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Caberá ao agente de contratação responsável pelo julgamento do certame para seleção do titular da presente ARP realizar o procedimento de análise dos critérios indicados no item anterior.</w:t>
      </w:r>
    </w:p>
    <w:p w14:paraId="48624508">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Havendo alteração da titularidade do registro com base no CADASTRO RESERVA, deverá a ARP ser republicada para fins de eficácia.</w:t>
      </w:r>
    </w:p>
    <w:p w14:paraId="1D2730D2">
      <w:pPr>
        <w:pStyle w:val="68"/>
        <w:numPr>
          <w:ilvl w:val="0"/>
          <w:numId w:val="13"/>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PUBLICIDADE E DIVULGAÇÃO</w:t>
      </w:r>
    </w:p>
    <w:p w14:paraId="72BF5243">
      <w:pPr>
        <w:pStyle w:val="68"/>
        <w:numPr>
          <w:ilvl w:val="1"/>
          <w:numId w:val="13"/>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A formalização da ARP, como também suas possíveis alterações, prorrogações, cancelamento e rescisões, serão publicados e divulgados no PNCP - Portal Nacional de Contratações Públicas (</w:t>
      </w:r>
      <w:r>
        <w:rPr>
          <w:sz w:val="21"/>
          <w:szCs w:val="21"/>
        </w:rPr>
        <w:fldChar w:fldCharType="begin"/>
      </w:r>
      <w:r>
        <w:rPr>
          <w:sz w:val="21"/>
          <w:szCs w:val="21"/>
        </w:rPr>
        <w:instrText xml:space="preserve"> HYPERLINK "https://pncp.gov.br/" \h </w:instrText>
      </w:r>
      <w:r>
        <w:rPr>
          <w:sz w:val="21"/>
          <w:szCs w:val="21"/>
        </w:rPr>
        <w:fldChar w:fldCharType="separate"/>
      </w:r>
      <w:r>
        <w:rPr>
          <w:rStyle w:val="62"/>
          <w:rFonts w:ascii="Times New Roman" w:hAnsi="Times New Roman"/>
          <w:sz w:val="21"/>
          <w:szCs w:val="21"/>
          <w:lang w:eastAsia="pt-BR"/>
        </w:rPr>
        <w:t>https://pncp.gov.br/</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xml:space="preserve">), bem como, em forma de extrato, no </w:t>
      </w:r>
      <w:r>
        <w:rPr>
          <w:sz w:val="21"/>
          <w:szCs w:val="21"/>
        </w:rPr>
        <w:fldChar w:fldCharType="begin"/>
      </w:r>
      <w:r>
        <w:rPr>
          <w:sz w:val="21"/>
          <w:szCs w:val="21"/>
        </w:rPr>
        <w:instrText xml:space="preserve"> HYPERLINK "https://www.in.gov.br/servicos/diario-oficial-da-uniao" \h </w:instrText>
      </w:r>
      <w:r>
        <w:rPr>
          <w:sz w:val="21"/>
          <w:szCs w:val="21"/>
        </w:rPr>
        <w:fldChar w:fldCharType="separate"/>
      </w:r>
      <w:r>
        <w:rPr>
          <w:rStyle w:val="62"/>
          <w:rFonts w:ascii="Times New Roman" w:hAnsi="Times New Roman"/>
          <w:sz w:val="21"/>
          <w:szCs w:val="21"/>
          <w:lang w:eastAsia="pt-BR"/>
        </w:rPr>
        <w:t>Diário Oficial</w:t>
      </w:r>
      <w:r>
        <w:rPr>
          <w:rStyle w:val="62"/>
          <w:rFonts w:ascii="Times New Roman" w:hAnsi="Times New Roman"/>
          <w:sz w:val="21"/>
          <w:szCs w:val="21"/>
          <w:lang w:eastAsia="pt-BR"/>
        </w:rPr>
        <w:fldChar w:fldCharType="end"/>
      </w:r>
      <w:r>
        <w:rPr>
          <w:rFonts w:ascii="Times New Roman" w:hAnsi="Times New Roman" w:cs="Times New Roman"/>
          <w:sz w:val="21"/>
          <w:szCs w:val="21"/>
        </w:rPr>
        <w:t>.</w:t>
      </w:r>
    </w:p>
    <w:p w14:paraId="371A5324">
      <w:pPr>
        <w:pStyle w:val="68"/>
        <w:numPr>
          <w:ilvl w:val="1"/>
          <w:numId w:val="13"/>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Todas as informações do presente registro de preço serão também disponibilizadas, durante sua vigência, no site do ÓRGÃO GERENCIADOR na Internet (</w:t>
      </w:r>
      <w:r>
        <w:rPr>
          <w:sz w:val="21"/>
          <w:szCs w:val="21"/>
        </w:rPr>
        <w:fldChar w:fldCharType="begin"/>
      </w:r>
      <w:r>
        <w:rPr>
          <w:sz w:val="21"/>
          <w:szCs w:val="21"/>
        </w:rPr>
        <w:instrText xml:space="preserve"> HYPERLINK "https://www.primaveradoleste.mt.leg.br/" \h </w:instrText>
      </w:r>
      <w:r>
        <w:rPr>
          <w:sz w:val="21"/>
          <w:szCs w:val="21"/>
        </w:rPr>
        <w:fldChar w:fldCharType="separate"/>
      </w:r>
      <w:r>
        <w:rPr>
          <w:rStyle w:val="62"/>
          <w:rFonts w:ascii="Times New Roman" w:hAnsi="Times New Roman"/>
          <w:sz w:val="21"/>
          <w:szCs w:val="21"/>
        </w:rPr>
        <w:t>https://www.primaveradoleste.mt.leg.br/</w:t>
      </w:r>
      <w:r>
        <w:rPr>
          <w:rStyle w:val="62"/>
          <w:rFonts w:ascii="Times New Roman" w:hAnsi="Times New Roman"/>
          <w:sz w:val="21"/>
          <w:szCs w:val="21"/>
        </w:rPr>
        <w:fldChar w:fldCharType="end"/>
      </w:r>
      <w:r>
        <w:rPr>
          <w:rFonts w:ascii="Times New Roman" w:hAnsi="Times New Roman" w:cs="Times New Roman"/>
          <w:sz w:val="21"/>
          <w:szCs w:val="21"/>
        </w:rPr>
        <w:t>)</w:t>
      </w:r>
      <w:r>
        <w:rPr>
          <w:rFonts w:ascii="Times New Roman" w:hAnsi="Times New Roman" w:cs="Times New Roman"/>
          <w:sz w:val="21"/>
          <w:szCs w:val="21"/>
          <w:lang w:eastAsia="pt-BR"/>
        </w:rPr>
        <w:t>, inclusive com a íntegra da ARP e alterações posteriores.</w:t>
      </w:r>
    </w:p>
    <w:p w14:paraId="0514A810">
      <w:pPr>
        <w:pStyle w:val="68"/>
        <w:numPr>
          <w:ilvl w:val="0"/>
          <w:numId w:val="13"/>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ALTERAÇÕES DOS PREÇOS REGISTRADOS</w:t>
      </w:r>
    </w:p>
    <w:p w14:paraId="62C0778C">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Salvo negociação entre o órgão gerenciador e o(s) fornecedor(es), os preços registrados serão REAJUSTADOS automaticamente, para mais ou para menos, com base na variação anual do Índice Nacional de Preços ao Consumidor - INPC - do Instituto Brasileiro de Geografia e Estatística - IBGE, ou outro índice que venha a sucedê-lo, desde que decorridos 12 (doze) meses, contados da assinatura da ARP, de acordo com a seguinte fórmula:</w:t>
      </w:r>
    </w:p>
    <w:p w14:paraId="322A7E40">
      <w:pPr>
        <w:pStyle w:val="50"/>
        <w:tabs>
          <w:tab w:val="left" w:pos="1134"/>
        </w:tabs>
        <w:spacing w:before="120" w:beforeAutospacing="0" w:after="120" w:afterAutospacing="0"/>
        <w:ind w:left="1134"/>
        <w:jc w:val="both"/>
        <w:textAlignment w:val="baseline"/>
        <w:rPr>
          <w:rFonts w:ascii="Times New Roman" w:hAnsi="Times New Roman"/>
          <w:sz w:val="21"/>
          <w:szCs w:val="21"/>
        </w:rPr>
      </w:pPr>
      <w:r>
        <w:rPr>
          <w:b/>
          <w:bCs/>
          <w:color w:val="000000" w:themeColor="text1"/>
          <w:sz w:val="21"/>
          <w:szCs w:val="21"/>
          <w14:textFill>
            <w14:solidFill>
              <w14:schemeClr w14:val="tx1"/>
            </w14:solidFill>
          </w14:textFill>
        </w:rPr>
        <w:t>PR = PI x IR</w:t>
      </w:r>
    </w:p>
    <w:p w14:paraId="1567AF77">
      <w:pPr>
        <w:pStyle w:val="50"/>
        <w:tabs>
          <w:tab w:val="left" w:pos="1134"/>
        </w:tabs>
        <w:spacing w:before="120" w:beforeAutospacing="0" w:after="120" w:afterAutospacing="0"/>
        <w:ind w:left="567"/>
        <w:jc w:val="both"/>
        <w:textAlignment w:val="baseline"/>
        <w:rPr>
          <w:rFonts w:ascii="Times New Roman" w:hAnsi="Times New Roman"/>
          <w:sz w:val="21"/>
          <w:szCs w:val="21"/>
        </w:rPr>
      </w:pPr>
      <w:r>
        <w:rPr>
          <w:color w:val="000000" w:themeColor="text1"/>
          <w:sz w:val="21"/>
          <w:szCs w:val="21"/>
          <w14:textFill>
            <w14:solidFill>
              <w14:schemeClr w14:val="tx1"/>
            </w14:solidFill>
          </w14:textFill>
        </w:rPr>
        <w:t>Onde:</w:t>
      </w:r>
    </w:p>
    <w:p w14:paraId="3EFE88E8">
      <w:pPr>
        <w:pStyle w:val="50"/>
        <w:tabs>
          <w:tab w:val="left" w:pos="1134"/>
        </w:tabs>
        <w:spacing w:before="120" w:beforeAutospacing="0" w:after="120" w:afterAutospacing="0"/>
        <w:ind w:left="1134"/>
        <w:jc w:val="both"/>
        <w:textAlignment w:val="baseline"/>
        <w:rPr>
          <w:rFonts w:ascii="Times New Roman" w:hAnsi="Times New Roman"/>
          <w:sz w:val="21"/>
          <w:szCs w:val="21"/>
        </w:rPr>
      </w:pPr>
      <w:r>
        <w:rPr>
          <w:b/>
          <w:bCs/>
          <w:color w:val="000000" w:themeColor="text1"/>
          <w:sz w:val="21"/>
          <w:szCs w:val="21"/>
          <w14:textFill>
            <w14:solidFill>
              <w14:schemeClr w14:val="tx1"/>
            </w14:solidFill>
          </w14:textFill>
        </w:rPr>
        <w:t>PR</w:t>
      </w:r>
      <w:r>
        <w:rPr>
          <w:color w:val="000000" w:themeColor="text1"/>
          <w:sz w:val="21"/>
          <w:szCs w:val="21"/>
          <w14:textFill>
            <w14:solidFill>
              <w14:schemeClr w14:val="tx1"/>
            </w14:solidFill>
          </w14:textFill>
        </w:rPr>
        <w:t xml:space="preserve"> = Preço reajustado </w:t>
      </w:r>
    </w:p>
    <w:p w14:paraId="6E06E87D">
      <w:pPr>
        <w:pStyle w:val="50"/>
        <w:tabs>
          <w:tab w:val="left" w:pos="1134"/>
        </w:tabs>
        <w:spacing w:before="120" w:beforeAutospacing="0" w:after="120" w:afterAutospacing="0"/>
        <w:ind w:left="1134"/>
        <w:jc w:val="both"/>
        <w:textAlignment w:val="baseline"/>
        <w:rPr>
          <w:rFonts w:ascii="Times New Roman" w:hAnsi="Times New Roman"/>
          <w:sz w:val="21"/>
          <w:szCs w:val="21"/>
        </w:rPr>
      </w:pPr>
      <w:r>
        <w:rPr>
          <w:b/>
          <w:bCs/>
          <w:color w:val="000000" w:themeColor="text1"/>
          <w:sz w:val="21"/>
          <w:szCs w:val="21"/>
          <w14:textFill>
            <w14:solidFill>
              <w14:schemeClr w14:val="tx1"/>
            </w14:solidFill>
          </w14:textFill>
        </w:rPr>
        <w:t>PI</w:t>
      </w:r>
      <w:r>
        <w:rPr>
          <w:color w:val="000000" w:themeColor="text1"/>
          <w:sz w:val="21"/>
          <w:szCs w:val="21"/>
          <w14:textFill>
            <w14:solidFill>
              <w14:schemeClr w14:val="tx1"/>
            </w14:solidFill>
          </w14:textFill>
        </w:rPr>
        <w:t xml:space="preserve"> = Preço inicial da Ata de Registro de Preços</w:t>
      </w:r>
    </w:p>
    <w:p w14:paraId="3B9E1EF6">
      <w:pPr>
        <w:pStyle w:val="50"/>
        <w:tabs>
          <w:tab w:val="left" w:pos="1134"/>
        </w:tabs>
        <w:spacing w:before="120" w:beforeAutospacing="0" w:after="120" w:afterAutospacing="0"/>
        <w:ind w:left="1134"/>
        <w:jc w:val="both"/>
        <w:textAlignment w:val="baseline"/>
        <w:rPr>
          <w:rFonts w:ascii="Times New Roman" w:hAnsi="Times New Roman"/>
          <w:sz w:val="21"/>
          <w:szCs w:val="21"/>
        </w:rPr>
      </w:pPr>
      <w:r>
        <w:rPr>
          <w:b/>
          <w:bCs/>
          <w:color w:val="000000" w:themeColor="text1"/>
          <w:sz w:val="21"/>
          <w:szCs w:val="21"/>
          <w14:textFill>
            <w14:solidFill>
              <w14:schemeClr w14:val="tx1"/>
            </w14:solidFill>
          </w14:textFill>
        </w:rPr>
        <w:t xml:space="preserve">IR </w:t>
      </w:r>
      <w:r>
        <w:rPr>
          <w:color w:val="000000" w:themeColor="text1"/>
          <w:sz w:val="21"/>
          <w:szCs w:val="21"/>
          <w14:textFill>
            <w14:solidFill>
              <w14:schemeClr w14:val="tx1"/>
            </w14:solidFill>
          </w14:textFill>
        </w:rPr>
        <w:t>= Índice de reajuste</w:t>
      </w:r>
    </w:p>
    <w:p w14:paraId="0EB106D8">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Na hipótese de reajuste, a contratada será consultada sobre a possibilidade de renúncia ao reajuste previsto antes da formalização da prorrogação, cabendo à Administração decidir sobre o interesse na prorrogação em caso de reajuste.</w:t>
      </w:r>
    </w:p>
    <w:p w14:paraId="64123683">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 qualquer tempo, o preço registrado poderá sofrer REVISÃO em decorrência de comprovado desequilíbrio econômico-financeiro ocorrida no mercado, para restabelecer o equilíbrio econômico-financeiro inicial, em caso de força maior, caso fortuito ou fato do príncipe ou em decorrência de fatos imprevisíveis ou previsíveis de consequências incalculáveis, que inviabilizem a execução da contratação tal como pactuado, deverá ser formulado durante a vigência da presente Ata e antes de eventual prorrogação.</w:t>
      </w:r>
    </w:p>
    <w:p w14:paraId="56C2D9AA">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Do mesmo modo, à Administração pode solicitar a REVISÃO dos preços registrados em caso de desequilíbrio econômico-financeiro em seu desfavor.</w:t>
      </w:r>
    </w:p>
    <w:p w14:paraId="2EFE5859">
      <w:pPr>
        <w:pStyle w:val="68"/>
        <w:numPr>
          <w:ilvl w:val="1"/>
          <w:numId w:val="13"/>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 xml:space="preserve">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"art124"</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124 da 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w:t>
      </w:r>
    </w:p>
    <w:p w14:paraId="68214551">
      <w:pPr>
        <w:pStyle w:val="68"/>
        <w:numPr>
          <w:ilvl w:val="1"/>
          <w:numId w:val="13"/>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 xml:space="preserve">Caberá a parte prejudicada a demonstração do impacto efetivo nos custos em decorrência da álea econômica extraordinária havida no mercado, não cabendo revisão de preços em casos de variação inflacionária ordinária, observando-se as regras previstas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"art124"</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124 da Lei Federal nº 14.133/2021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e nos seguintes casos:</w:t>
      </w:r>
    </w:p>
    <w:p w14:paraId="263C1CB2">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ausência de comprovação da elevação dos encargos do particular;</w:t>
      </w:r>
    </w:p>
    <w:p w14:paraId="2031119E">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ocorrência de evento antes da formulação das propostas;</w:t>
      </w:r>
    </w:p>
    <w:p w14:paraId="05A30490">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ausência de vínculo de causalidade entre o evento ocorrido e a majoração dos encargos do fornecedor;</w:t>
      </w:r>
    </w:p>
    <w:p w14:paraId="368175C8">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culpa do fornecedor pela majoração dos seus encargos (o que inclui a previsibilidade da ocorrência do evento).</w:t>
      </w:r>
    </w:p>
    <w:p w14:paraId="024DB67C">
      <w:pPr>
        <w:pStyle w:val="68"/>
        <w:numPr>
          <w:ilvl w:val="1"/>
          <w:numId w:val="13"/>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 xml:space="preserve">Na hipótese de não comprovação da existência de fato superveniente que inviabilize o preço registrado, o pedido será indeferido pelo órgão gerenciador e o fornecedor deverá cumprir as obrigações estabelecidas na ARP, sob pena de cancelamento do seu registro, sem prejuízo das sanções previstas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"art156"</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156 da 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e na legislação aplicável</w:t>
      </w:r>
      <w:bookmarkStart w:id="73" w:name="nao_comprovacao_majoracao_mercado"/>
      <w:bookmarkEnd w:id="73"/>
      <w:r>
        <w:rPr>
          <w:rFonts w:ascii="Times New Roman" w:hAnsi="Times New Roman" w:cs="Times New Roman"/>
          <w:sz w:val="21"/>
          <w:szCs w:val="21"/>
          <w:lang w:eastAsia="pt-BR"/>
        </w:rPr>
        <w:t>, mantendo-se hígidas e vigentes as contratações já formalizadas ou solicitadas, bem como os demais itens/grupos não afetados pelo requerido desequilíbrio de preços de mercado.</w:t>
      </w:r>
    </w:p>
    <w:p w14:paraId="1F7BEA7A">
      <w:pPr>
        <w:pStyle w:val="68"/>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Em caso do CANCELAMENTO, e havendo CADASTRO RESERVA para o respectivo ITEM/GRUPO, o órgão gerenciador convocará o(s) fornecedor(es) do cadastro de reserva, na ordem de classificação, para verificar se aceita(m) manter seu(s) preço(s) registrado(s).</w:t>
      </w:r>
    </w:p>
    <w:p w14:paraId="7785EAE3">
      <w:pPr>
        <w:pStyle w:val="68"/>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Toda alteração da presente ARP será publicada e divulgada, nos termos fixados no item 11 desta ARP.</w:t>
      </w:r>
    </w:p>
    <w:p w14:paraId="0F33586D">
      <w:pPr>
        <w:pStyle w:val="68"/>
        <w:numPr>
          <w:ilvl w:val="0"/>
          <w:numId w:val="13"/>
        </w:numPr>
        <w:tabs>
          <w:tab w:val="left" w:pos="480"/>
        </w:tabs>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REMANEJAMENTO DAS QUANTIDADES REGISTRADAS NA ARP</w:t>
      </w:r>
    </w:p>
    <w:p w14:paraId="7EE4668C">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As quantidades previstas para os itens com preços registrados nas atas de registro de preços poderão ser remanejadas pelo órgão gerenciador entre os órgãos ou as entidades participantes e não participantes do registro de preços.</w:t>
      </w:r>
    </w:p>
    <w:p w14:paraId="0EC59546">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 xml:space="preserve"> O remanejamento somente poderá ser feito:</w:t>
      </w:r>
    </w:p>
    <w:p w14:paraId="17699F66">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De órgão ou entidade participante para órgão ou entidade participante; ou</w:t>
      </w:r>
    </w:p>
    <w:p w14:paraId="460FDD9D">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De órgão ou entidade participante para órgão ou entidade não participante.</w:t>
      </w:r>
    </w:p>
    <w:p w14:paraId="158BF30E">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órgão gerenciador que tiver estimado as quantidades que pretende contratar será considerado participante para efeito do remanejamento.</w:t>
      </w:r>
      <w:bookmarkStart w:id="74" w:name="gerenciador_estimador_é_partic_em_remane"/>
      <w:bookmarkEnd w:id="74"/>
    </w:p>
    <w:p w14:paraId="6C9D0102">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shd w:val="clear" w:fill="auto"/>
          <w:lang w:eastAsia="pt-BR"/>
        </w:rPr>
        <w:t>Na hipótese de remanejamento de órgão ou entidade participante para órgão ou entidade não participante, serão observados os limites previstos nas Leis nº 14.133 de 2021 e nº 14.770 de 2023.</w:t>
      </w:r>
    </w:p>
    <w:p w14:paraId="2FE1E709">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shd w:val="clear" w:fill="auto"/>
          <w:lang w:eastAsia="pt-BR"/>
        </w:rPr>
        <w:t>Competirá</w:t>
      </w:r>
      <w:r>
        <w:rPr>
          <w:rFonts w:ascii="Times New Roman" w:hAnsi="Times New Roman" w:cs="Times New Roman"/>
          <w:sz w:val="21"/>
          <w:szCs w:val="21"/>
          <w:lang w:eastAsia="pt-BR"/>
        </w:rPr>
        <w:t xml:space="preserve"> ao órgão gerenciador autorizar o remanejamento solicitado, com a redução do quantitativo inicialmente informado pelo órgão ou pela entidade participante, desde que haja prévia anuência do órgão ou da entidade que sofrer redução dos quantitativos informados.</w:t>
      </w:r>
    </w:p>
    <w:p w14:paraId="13D83EAA">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67F56C2D">
      <w:pPr>
        <w:pStyle w:val="68"/>
        <w:numPr>
          <w:ilvl w:val="0"/>
          <w:numId w:val="13"/>
        </w:numPr>
        <w:tabs>
          <w:tab w:val="left" w:pos="480"/>
        </w:tabs>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CANCELAMENTO DO REGISTRO DO LICITANTE VENCEDOR E DOS PREÇOS REGISTRADOS</w:t>
      </w:r>
    </w:p>
    <w:p w14:paraId="576958C8">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registro do fornecedor será cancelado pelo gerenciador, quando o fornecedor:</w:t>
      </w:r>
      <w:bookmarkStart w:id="75" w:name="cancelamento_do_fornecedor"/>
      <w:bookmarkEnd w:id="75"/>
    </w:p>
    <w:p w14:paraId="75D9A6A7">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Descumprir as condições da ata de registro de preços, sem motivo justificado;</w:t>
      </w:r>
    </w:p>
    <w:p w14:paraId="045457C0">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Não retirar a nota de empenho, ou instrumento equivalente, no prazo estabelecido pela Administração sem justificativa razoável;</w:t>
      </w:r>
    </w:p>
    <w:p w14:paraId="76B56BF6">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Não aceitar manter seu preço registrado;</w:t>
      </w:r>
    </w:p>
    <w:p w14:paraId="2BB37EA9">
      <w:pPr>
        <w:pStyle w:val="68"/>
        <w:numPr>
          <w:ilvl w:val="2"/>
          <w:numId w:val="13"/>
        </w:numPr>
        <w:tabs>
          <w:tab w:val="left" w:pos="1134"/>
          <w:tab w:val="left" w:pos="3001"/>
        </w:tabs>
        <w:spacing w:before="120" w:after="120" w:line="240" w:lineRule="auto"/>
        <w:contextualSpacing w:val="0"/>
        <w:jc w:val="both"/>
        <w:rPr>
          <w:sz w:val="21"/>
          <w:szCs w:val="21"/>
        </w:rPr>
      </w:pPr>
      <w:r>
        <w:rPr>
          <w:rFonts w:ascii="Times New Roman" w:hAnsi="Times New Roman" w:cs="Times New Roman"/>
          <w:sz w:val="21"/>
          <w:szCs w:val="21"/>
          <w:lang w:eastAsia="pt-BR"/>
        </w:rPr>
        <w:t xml:space="preserve"> Sofrer sanção prevista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"art156"</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 xml:space="preserve">inciso III do </w:t>
      </w:r>
      <w:r>
        <w:rPr>
          <w:rStyle w:val="62"/>
          <w:rFonts w:ascii="Times New Roman" w:hAnsi="Times New Roman"/>
          <w:sz w:val="21"/>
          <w:szCs w:val="21"/>
          <w:lang w:eastAsia="pt-BR"/>
        </w:rPr>
        <w:fldChar w:fldCharType="end"/>
      </w:r>
      <w:r>
        <w:rPr>
          <w:rStyle w:val="62"/>
          <w:rFonts w:ascii="Times New Roman" w:hAnsi="Times New Roman"/>
          <w:i/>
          <w:iCs/>
          <w:sz w:val="21"/>
          <w:szCs w:val="21"/>
          <w:lang w:eastAsia="pt-BR"/>
        </w:rPr>
        <w:t>caput</w:t>
      </w:r>
      <w:r>
        <w:rPr>
          <w:rStyle w:val="62"/>
          <w:rFonts w:ascii="Times New Roman" w:hAnsi="Times New Roman"/>
          <w:sz w:val="21"/>
          <w:szCs w:val="21"/>
          <w:lang w:eastAsia="pt-BR"/>
        </w:rPr>
        <w:t xml:space="preserve"> do art. 156 da Lei Federal nº 14.133, de 2021</w:t>
      </w:r>
      <w:r>
        <w:rPr>
          <w:rFonts w:ascii="Times New Roman" w:hAnsi="Times New Roman" w:cs="Times New Roman"/>
          <w:sz w:val="21"/>
          <w:szCs w:val="21"/>
          <w:lang w:eastAsia="pt-BR"/>
        </w:rPr>
        <w:t>, aplicada por qualquer órgão da União Federal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"art156"</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156, § 4º, da 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ou</w:t>
      </w:r>
    </w:p>
    <w:p w14:paraId="55B13FE6">
      <w:pPr>
        <w:pStyle w:val="68"/>
        <w:numPr>
          <w:ilvl w:val="2"/>
          <w:numId w:val="13"/>
        </w:numPr>
        <w:tabs>
          <w:tab w:val="left" w:pos="1134"/>
          <w:tab w:val="left" w:pos="3001"/>
        </w:tabs>
        <w:spacing w:before="120" w:after="120" w:line="240" w:lineRule="auto"/>
        <w:contextualSpacing w:val="0"/>
        <w:jc w:val="both"/>
        <w:rPr>
          <w:sz w:val="21"/>
          <w:szCs w:val="21"/>
        </w:rPr>
      </w:pPr>
      <w:r>
        <w:rPr>
          <w:rFonts w:ascii="Times New Roman" w:hAnsi="Times New Roman" w:cs="Times New Roman"/>
          <w:sz w:val="21"/>
          <w:szCs w:val="21"/>
          <w:lang w:eastAsia="pt-BR"/>
        </w:rPr>
        <w:t xml:space="preserve">Sofrer sanção prevista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"art156"</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 xml:space="preserve">inciso IV do </w:t>
      </w:r>
      <w:r>
        <w:rPr>
          <w:rStyle w:val="62"/>
          <w:rFonts w:ascii="Times New Roman" w:hAnsi="Times New Roman"/>
          <w:sz w:val="21"/>
          <w:szCs w:val="21"/>
          <w:lang w:eastAsia="pt-BR"/>
        </w:rPr>
        <w:fldChar w:fldCharType="end"/>
      </w:r>
      <w:r>
        <w:rPr>
          <w:rStyle w:val="62"/>
          <w:rFonts w:ascii="Times New Roman" w:hAnsi="Times New Roman"/>
          <w:i/>
          <w:iCs/>
          <w:sz w:val="21"/>
          <w:szCs w:val="21"/>
          <w:lang w:eastAsia="pt-BR"/>
        </w:rPr>
        <w:t>caput</w:t>
      </w:r>
      <w:r>
        <w:rPr>
          <w:rStyle w:val="62"/>
          <w:rFonts w:ascii="Times New Roman" w:hAnsi="Times New Roman"/>
          <w:sz w:val="21"/>
          <w:szCs w:val="21"/>
          <w:lang w:eastAsia="pt-BR"/>
        </w:rPr>
        <w:t xml:space="preserve"> do art. 156 da Lei Federal nº 14.133, de 2021</w:t>
      </w:r>
      <w:r>
        <w:rPr>
          <w:rFonts w:ascii="Times New Roman" w:hAnsi="Times New Roman" w:cs="Times New Roman"/>
          <w:sz w:val="21"/>
          <w:szCs w:val="21"/>
          <w:lang w:eastAsia="pt-BR"/>
        </w:rPr>
        <w:t>, no caso de declaração de inidoneidade para contratar com a Administração Pública.</w:t>
      </w:r>
    </w:p>
    <w:p w14:paraId="7CFF6384">
      <w:pPr>
        <w:pStyle w:val="68"/>
        <w:numPr>
          <w:ilvl w:val="1"/>
          <w:numId w:val="13"/>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 xml:space="preserve">Na hipótese de aplicação de sanção prevista nos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"art156"</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 xml:space="preserve">incisos III ou IV do </w:t>
      </w:r>
      <w:r>
        <w:rPr>
          <w:rStyle w:val="62"/>
          <w:rFonts w:ascii="Times New Roman" w:hAnsi="Times New Roman"/>
          <w:sz w:val="21"/>
          <w:szCs w:val="21"/>
          <w:lang w:eastAsia="pt-BR"/>
        </w:rPr>
        <w:fldChar w:fldCharType="end"/>
      </w:r>
      <w:r>
        <w:rPr>
          <w:rStyle w:val="62"/>
          <w:rFonts w:ascii="Times New Roman" w:hAnsi="Times New Roman"/>
          <w:i/>
          <w:iCs/>
          <w:sz w:val="21"/>
          <w:szCs w:val="21"/>
          <w:lang w:eastAsia="pt-BR"/>
        </w:rPr>
        <w:t>caput</w:t>
      </w:r>
      <w:r>
        <w:rPr>
          <w:rStyle w:val="62"/>
          <w:rFonts w:ascii="Times New Roman" w:hAnsi="Times New Roman"/>
          <w:sz w:val="21"/>
          <w:szCs w:val="21"/>
          <w:lang w:eastAsia="pt-BR"/>
        </w:rPr>
        <w:t xml:space="preserve"> do art. 156 da Lei Federal nº 14.133, de 2021</w:t>
      </w:r>
      <w:r>
        <w:rPr>
          <w:rFonts w:ascii="Times New Roman" w:hAnsi="Times New Roman" w:cs="Times New Roman"/>
          <w:sz w:val="21"/>
          <w:szCs w:val="21"/>
          <w:lang w:eastAsia="pt-BR"/>
        </w:rPr>
        <w:t>, caso a penalidade aplicada ao fornecedor não ultrapasse o prazo de vigência da ata de registro de preços, o órgão gerenciador poderá, mediante decisão fundamentada, decidir pela manutenção do registro de preços, vedadas contratações derivadas da ata enquanto perdurarem os efeitos da sanção.</w:t>
      </w:r>
    </w:p>
    <w:p w14:paraId="450D977D">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 xml:space="preserve"> O cancelamento de registros será formalizado por despacho do órgão gerenciador, garantidos os princípios do contraditório e da ampla defesa.</w:t>
      </w:r>
    </w:p>
    <w:p w14:paraId="7139EBAF">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Na hipótese de cancelamento do registro do fornecedor, o órgão gerenciador poderá convocar os licitantes que compõem o cadastro de reserva, observada a ordem de classificação.</w:t>
      </w:r>
    </w:p>
    <w:p w14:paraId="5C31DB63">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cancelamento dos preços registrados poderá ser realizado pelo gerenciador, em determinada ata de registro de preços, total ou parcialmente, nas seguintes hipóteses, desde que devidamente comprovadas e justificadas:</w:t>
      </w:r>
      <w:bookmarkStart w:id="76" w:name="cancelamento_da_ata"/>
      <w:bookmarkEnd w:id="76"/>
      <w:r>
        <w:rPr>
          <w:rFonts w:ascii="Times New Roman" w:hAnsi="Times New Roman" w:cs="Times New Roman"/>
          <w:sz w:val="21"/>
          <w:szCs w:val="21"/>
          <w:lang w:eastAsia="pt-BR"/>
        </w:rPr>
        <w:t xml:space="preserve"> </w:t>
      </w:r>
    </w:p>
    <w:p w14:paraId="317FD035">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Por razão de interesse público;</w:t>
      </w:r>
    </w:p>
    <w:p w14:paraId="5B0CEAA0">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A pedido do fornecedor, decorrente de caso fortuito ou força maior; ou</w:t>
      </w:r>
    </w:p>
    <w:p w14:paraId="520C031D">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 xml:space="preserve">Se não houver êxito nas negociações, nas hipóteses em que o preço de mercado tornar-se superior ou inferior ao preço registrado. </w:t>
      </w:r>
    </w:p>
    <w:p w14:paraId="2A534F43">
      <w:pPr>
        <w:pStyle w:val="68"/>
        <w:numPr>
          <w:ilvl w:val="0"/>
          <w:numId w:val="13"/>
        </w:numPr>
        <w:tabs>
          <w:tab w:val="left" w:pos="480"/>
        </w:tabs>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SANÇÕES ADMINISTRATIVAS POR DESCUMPRIMENTO DE OBRIGAÇÕES CONTIDAS NA ARP</w:t>
      </w:r>
    </w:p>
    <w:p w14:paraId="3A70F725">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 xml:space="preserve">As empresas com preços registrados nesta ARP e signatárias dos respectivos contratos estarão sujeitas às sanções administrativas previstas neste Edital de Licitação do  </w:t>
      </w:r>
      <w:r>
        <w:rPr>
          <w:rFonts w:cs="Times New Roman"/>
          <w:sz w:val="21"/>
          <w:szCs w:val="21"/>
          <w:lang w:eastAsia="pt-BR"/>
        </w:rPr>
        <w:t>Pregão nº 012/2024</w:t>
      </w:r>
      <w:r>
        <w:rPr>
          <w:rFonts w:ascii="Times New Roman" w:hAnsi="Times New Roman" w:cs="Times New Roman"/>
          <w:color w:val="000000"/>
          <w:sz w:val="21"/>
          <w:szCs w:val="21"/>
          <w:shd w:val="clear" w:fill="auto"/>
          <w:lang w:eastAsia="pt-BR"/>
        </w:rPr>
        <w:t xml:space="preserve">, </w:t>
      </w:r>
      <w:r>
        <w:rPr>
          <w:rFonts w:ascii="Times New Roman" w:hAnsi="Times New Roman" w:cs="Times New Roman"/>
          <w:sz w:val="21"/>
          <w:szCs w:val="21"/>
          <w:lang w:eastAsia="pt-BR"/>
        </w:rPr>
        <w:t>sem prejuízo de outras previstas em legislação pertinente e da responsabilidade civil e criminal que seus atos ensejarem.</w:t>
      </w:r>
    </w:p>
    <w:p w14:paraId="5DD5DF1B">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07DCDFE4">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Cabe a cada órgão ou entidade participante ou aderente a realização de procedimento para fins de apuração de responsabilidade e aplicação de sanções administrativas nos casos de inadimplemento em suas próprias contratações, comunicando ao gerenciador para fins de registro quaisquer sanções aplicadas.</w:t>
      </w:r>
    </w:p>
    <w:p w14:paraId="51B75289">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órgão ou entidade participante deverá comunicar ao órgão gerenciador qualquer das ocorrências passível de cancelamento do registro do fornecedor.</w:t>
      </w:r>
    </w:p>
    <w:p w14:paraId="186C1306">
      <w:pPr>
        <w:pStyle w:val="68"/>
        <w:numPr>
          <w:ilvl w:val="0"/>
          <w:numId w:val="13"/>
        </w:numPr>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CANCELAMENTO E RESCISÃO DA ARP</w:t>
      </w:r>
    </w:p>
    <w:p w14:paraId="7AD4AD83">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 xml:space="preserve">O registro de preços poderá ser CANCELADO/REVOGADO, </w:t>
      </w:r>
      <w:r>
        <w:rPr>
          <w:rFonts w:cs="Times New Roman"/>
          <w:sz w:val="21"/>
          <w:szCs w:val="21"/>
          <w:lang w:eastAsia="pt-BR"/>
        </w:rPr>
        <w:t>POR LOTE</w:t>
      </w:r>
      <w:r>
        <w:rPr>
          <w:rFonts w:ascii="Times New Roman" w:hAnsi="Times New Roman" w:cs="Times New Roman"/>
          <w:sz w:val="21"/>
          <w:szCs w:val="21"/>
          <w:lang w:eastAsia="pt-BR"/>
        </w:rPr>
        <w:t>/GRUPO, por iniciativa do ÓRGÃO GERENCIADOR, quando:</w:t>
      </w:r>
    </w:p>
    <w:p w14:paraId="18747934">
      <w:pPr>
        <w:pStyle w:val="68"/>
        <w:numPr>
          <w:ilvl w:val="2"/>
          <w:numId w:val="13"/>
        </w:numPr>
        <w:tabs>
          <w:tab w:val="left" w:pos="1134"/>
          <w:tab w:val="left" w:pos="3001"/>
        </w:tabs>
        <w:spacing w:before="120" w:after="120" w:line="240" w:lineRule="auto"/>
        <w:contextualSpacing w:val="0"/>
        <w:jc w:val="both"/>
        <w:rPr>
          <w:sz w:val="21"/>
          <w:szCs w:val="21"/>
        </w:rPr>
      </w:pPr>
      <w:r>
        <w:rPr>
          <w:rFonts w:ascii="Times New Roman" w:hAnsi="Times New Roman" w:cs="Times New Roman"/>
          <w:sz w:val="21"/>
          <w:szCs w:val="21"/>
          <w:lang w:eastAsia="pt-BR"/>
        </w:rPr>
        <w:t>Não houve acordo entre as partes para pactuação/negociação de novo preço nos casos de comprovado desequilíbrio econômico-financeiro em relação ao mercado, conforme regras previstas no</w:t>
      </w:r>
      <w:r>
        <w:rPr>
          <w:rFonts w:ascii="Times New Roman" w:hAnsi="Times New Roman" w:cs="Times New Roman"/>
          <w:sz w:val="21"/>
          <w:szCs w:val="21"/>
          <w:shd w:val="clear" w:fill="auto"/>
          <w:lang w:eastAsia="pt-BR"/>
        </w:rPr>
        <w:t xml:space="preserve"> item 12 </w:t>
      </w:r>
      <w:r>
        <w:rPr>
          <w:rFonts w:ascii="Times New Roman" w:hAnsi="Times New Roman" w:cs="Times New Roman"/>
          <w:sz w:val="21"/>
          <w:szCs w:val="21"/>
          <w:lang w:eastAsia="pt-BR"/>
        </w:rPr>
        <w:t xml:space="preserve">desta ARP, na </w:t>
      </w:r>
      <w:r>
        <w:rPr>
          <w:sz w:val="21"/>
          <w:szCs w:val="21"/>
        </w:rPr>
        <w:fldChar w:fldCharType="begin"/>
      </w:r>
      <w:r>
        <w:rPr>
          <w:sz w:val="21"/>
          <w:szCs w:val="21"/>
        </w:rPr>
        <w:instrText xml:space="preserve"> HYPERLINK "https://www.planalto.gov.br/ccivil_03/_ato2019-2022/2021/lei/l14133.htm" \h </w:instrText>
      </w:r>
      <w:r>
        <w:rPr>
          <w:sz w:val="21"/>
          <w:szCs w:val="21"/>
        </w:rPr>
        <w:fldChar w:fldCharType="separate"/>
      </w:r>
      <w:r>
        <w:rPr>
          <w:rStyle w:val="62"/>
          <w:rFonts w:ascii="Times New Roman" w:hAnsi="Times New Roman"/>
          <w:sz w:val="21"/>
          <w:szCs w:val="21"/>
          <w:lang w:eastAsia="pt-BR"/>
        </w:rPr>
        <w:t>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w:t>
      </w:r>
    </w:p>
    <w:p w14:paraId="51149135">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14:paraId="46774DC8">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Presentes razões de conveniência e oportunidade ao interesse público, devidamente justificadas.</w:t>
      </w:r>
    </w:p>
    <w:p w14:paraId="314E6D55">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registro de preços poderá ser RESCINDIDO, por iniciativa do ÓRGÃO GERENCIADOR, observada a gravidade da conduta e os reflexos em relação ao interesse público, quando o titular do registro:</w:t>
      </w:r>
    </w:p>
    <w:p w14:paraId="147993E0">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Não executar de forma total ou parcial qualificada as obrigações presentes nesta ARP;</w:t>
      </w:r>
    </w:p>
    <w:p w14:paraId="08E6D34F">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Recusar-se a retirar e assinar a nota de empenho ou instrumento contratual no prazo estabelecido, salvo por motivo devidamente justificado e aceito pelo órgão ou entidade Contratante;</w:t>
      </w:r>
    </w:p>
    <w:p w14:paraId="292EF6C0">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Der causa à rescisão administrativa de dois ou mais contratos firmados com base neste ARP;</w:t>
      </w:r>
    </w:p>
    <w:p w14:paraId="07D8F1DB">
      <w:pPr>
        <w:pStyle w:val="68"/>
        <w:numPr>
          <w:ilvl w:val="2"/>
          <w:numId w:val="13"/>
        </w:numPr>
        <w:tabs>
          <w:tab w:val="left" w:pos="1134"/>
          <w:tab w:val="left" w:pos="3001"/>
        </w:tabs>
        <w:spacing w:before="120" w:after="120" w:line="240" w:lineRule="auto"/>
        <w:contextualSpacing w:val="0"/>
        <w:jc w:val="both"/>
        <w:rPr>
          <w:rFonts w:ascii="Times New Roman" w:hAnsi="Times New Roman"/>
          <w:sz w:val="21"/>
          <w:szCs w:val="21"/>
        </w:rPr>
      </w:pPr>
      <w:r>
        <w:rPr>
          <w:rFonts w:ascii="Times New Roman" w:hAnsi="Times New Roman" w:cs="Times New Roman"/>
          <w:sz w:val="21"/>
          <w:szCs w:val="21"/>
          <w:lang w:eastAsia="pt-BR"/>
        </w:rPr>
        <w:t>Não mantiver as condições de participação e de habilitação exigidas na licitação, salvo irregularidade temporária e sanável em até 30 (trinta) dias corridos; ou</w:t>
      </w:r>
    </w:p>
    <w:p w14:paraId="270768F7">
      <w:pPr>
        <w:pStyle w:val="68"/>
        <w:numPr>
          <w:ilvl w:val="2"/>
          <w:numId w:val="13"/>
        </w:numPr>
        <w:tabs>
          <w:tab w:val="left" w:pos="1276"/>
          <w:tab w:val="left" w:pos="3001"/>
        </w:tabs>
        <w:spacing w:before="120" w:after="120" w:line="240" w:lineRule="auto"/>
        <w:contextualSpacing w:val="0"/>
        <w:jc w:val="both"/>
        <w:rPr>
          <w:sz w:val="21"/>
          <w:szCs w:val="21"/>
        </w:rPr>
      </w:pPr>
      <w:r>
        <w:rPr>
          <w:rFonts w:ascii="Times New Roman" w:hAnsi="Times New Roman" w:cs="Times New Roman"/>
          <w:sz w:val="21"/>
          <w:szCs w:val="21"/>
          <w:lang w:eastAsia="pt-BR"/>
        </w:rPr>
        <w:t xml:space="preserve">Sofrer sanção prevista no </w:t>
      </w:r>
      <w:r>
        <w:rPr>
          <w:sz w:val="21"/>
          <w:szCs w:val="21"/>
        </w:rPr>
        <w:fldChar w:fldCharType="begin"/>
      </w:r>
      <w:r>
        <w:rPr>
          <w:rStyle w:val="62"/>
          <w:rFonts w:ascii="Times New Roman" w:hAnsi="Times New Roman"/>
          <w:sz w:val="21"/>
          <w:szCs w:val="21"/>
          <w:lang w:eastAsia="pt-BR"/>
        </w:rPr>
        <w:instrText xml:space="preserve"> HYPERLINK "https://www.planalto.gov.br/ccivil_03/_ato2019-2022/2021/lei/l14133.htm" \l "art156"</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156, III ou IV, da Lei Federal nº 14.133, de 2021</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xml:space="preserve">, ou no </w:t>
      </w:r>
      <w:r>
        <w:rPr>
          <w:sz w:val="21"/>
          <w:szCs w:val="21"/>
        </w:rPr>
        <w:fldChar w:fldCharType="begin"/>
      </w:r>
      <w:r>
        <w:rPr>
          <w:rStyle w:val="62"/>
          <w:rFonts w:ascii="Times New Roman" w:hAnsi="Times New Roman"/>
          <w:sz w:val="21"/>
          <w:szCs w:val="21"/>
          <w:lang w:eastAsia="pt-BR"/>
        </w:rPr>
        <w:instrText xml:space="preserve"> HYPERLINK "https://www.planalto.gov.br/ccivil_03/leis/l8666cons.htm" \l "art87"</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87, III ou IV, da Lei Federal nº 8.666, de 1993</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 xml:space="preserve">, ou no </w:t>
      </w:r>
      <w:r>
        <w:rPr>
          <w:sz w:val="21"/>
          <w:szCs w:val="21"/>
        </w:rPr>
        <w:fldChar w:fldCharType="begin"/>
      </w:r>
      <w:r>
        <w:rPr>
          <w:rStyle w:val="62"/>
          <w:rFonts w:ascii="Times New Roman" w:hAnsi="Times New Roman"/>
          <w:sz w:val="21"/>
          <w:szCs w:val="21"/>
          <w:lang w:eastAsia="pt-BR"/>
        </w:rPr>
        <w:instrText xml:space="preserve"> HYPERLINK "http://www.planalto.gov.br/ccivil_03/leis/2002/l10520.htm" \l "art7"</w:instrText>
      </w:r>
      <w:r>
        <w:rPr>
          <w:rStyle w:val="62"/>
          <w:rFonts w:ascii="Times New Roman" w:hAnsi="Times New Roman"/>
          <w:sz w:val="21"/>
          <w:szCs w:val="21"/>
          <w:lang w:eastAsia="pt-BR"/>
        </w:rPr>
        <w:fldChar w:fldCharType="separate"/>
      </w:r>
      <w:r>
        <w:rPr>
          <w:rStyle w:val="62"/>
          <w:rFonts w:ascii="Times New Roman" w:hAnsi="Times New Roman"/>
          <w:sz w:val="21"/>
          <w:szCs w:val="21"/>
          <w:lang w:eastAsia="pt-BR"/>
        </w:rPr>
        <w:t>art. 7º da Lei Federal nº 10.520, de 2002</w:t>
      </w:r>
      <w:r>
        <w:rPr>
          <w:rStyle w:val="62"/>
          <w:rFonts w:ascii="Times New Roman" w:hAnsi="Times New Roman"/>
          <w:sz w:val="21"/>
          <w:szCs w:val="21"/>
          <w:lang w:eastAsia="pt-BR"/>
        </w:rPr>
        <w:fldChar w:fldCharType="end"/>
      </w:r>
      <w:r>
        <w:rPr>
          <w:rFonts w:ascii="Times New Roman" w:hAnsi="Times New Roman" w:cs="Times New Roman"/>
          <w:sz w:val="21"/>
          <w:szCs w:val="21"/>
          <w:lang w:eastAsia="pt-BR"/>
        </w:rPr>
        <w:t>.</w:t>
      </w:r>
    </w:p>
    <w:p w14:paraId="6363568E">
      <w:pPr>
        <w:pStyle w:val="68"/>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5D56E600">
      <w:pPr>
        <w:pStyle w:val="68"/>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Havendo cancelamento/revogação do registro, não caberá a aplicação de qualquer espécie de sanção administrativa ao titular do registro.</w:t>
      </w:r>
    </w:p>
    <w:p w14:paraId="2C1EC499">
      <w:pPr>
        <w:pStyle w:val="68"/>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O cancelamento/revogação do registro na hipótese do fornecedor recusar-se a retirar e assinar a nota de empenho ou instrumento contratual no prazo estabelecido, não poderá ser aceita em prejuízo ao interesse público.</w:t>
      </w:r>
    </w:p>
    <w:p w14:paraId="2139BA6B">
      <w:pPr>
        <w:pStyle w:val="68"/>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 rescisão do registro de preços será determinada em decisão unilateral e fundamentada do ÓRGÃO GERENCIADOR, garantido o contraditório e a ampla defesa em processo administrativo.</w:t>
      </w:r>
    </w:p>
    <w:p w14:paraId="569FF86C">
      <w:pPr>
        <w:pStyle w:val="68"/>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1"/>
          <w:szCs w:val="21"/>
        </w:rPr>
      </w:pPr>
      <w:r>
        <w:rPr>
          <w:rFonts w:ascii="Times New Roman" w:hAnsi="Times New Roman" w:cs="Times New Roman"/>
          <w:sz w:val="21"/>
          <w:szCs w:val="21"/>
          <w:lang w:eastAsia="pt-BR"/>
        </w:rPr>
        <w:t>A rescisão do registro de preços poderá ensejar a abertura de procedimento de apuração da responsabilidade e aplicação de sanções administrativas em face do titular do registro.</w:t>
      </w:r>
    </w:p>
    <w:p w14:paraId="6B901163">
      <w:pPr>
        <w:pStyle w:val="68"/>
        <w:numPr>
          <w:ilvl w:val="0"/>
          <w:numId w:val="13"/>
        </w:numPr>
        <w:tabs>
          <w:tab w:val="left" w:pos="3001"/>
        </w:tabs>
        <w:spacing w:before="240" w:after="120" w:line="240" w:lineRule="auto"/>
        <w:ind w:left="357" w:hanging="357"/>
        <w:contextualSpacing w:val="0"/>
        <w:jc w:val="both"/>
        <w:rPr>
          <w:rFonts w:ascii="Times New Roman" w:hAnsi="Times New Roman"/>
          <w:sz w:val="21"/>
          <w:szCs w:val="21"/>
        </w:rPr>
      </w:pPr>
      <w:r>
        <w:rPr>
          <w:rFonts w:ascii="Times New Roman" w:hAnsi="Times New Roman" w:cs="Times New Roman"/>
          <w:b/>
          <w:bCs/>
          <w:sz w:val="21"/>
          <w:szCs w:val="21"/>
          <w:u w:val="single"/>
          <w:lang w:eastAsia="pt-BR"/>
        </w:rPr>
        <w:t>DISPOSIÇÕES FINAIS</w:t>
      </w:r>
    </w:p>
    <w:p w14:paraId="317E002F">
      <w:pPr>
        <w:pStyle w:val="68"/>
        <w:numPr>
          <w:ilvl w:val="1"/>
          <w:numId w:val="13"/>
        </w:numPr>
        <w:tabs>
          <w:tab w:val="left" w:pos="1134"/>
          <w:tab w:val="left" w:pos="3001"/>
        </w:tabs>
        <w:spacing w:before="120" w:after="120" w:line="240" w:lineRule="auto"/>
        <w:ind w:left="0" w:firstLine="567"/>
        <w:contextualSpacing w:val="0"/>
        <w:jc w:val="both"/>
        <w:rPr>
          <w:sz w:val="21"/>
          <w:szCs w:val="21"/>
        </w:rPr>
      </w:pPr>
      <w:r>
        <w:rPr>
          <w:rFonts w:ascii="Times New Roman" w:hAnsi="Times New Roman" w:cs="Times New Roman"/>
          <w:sz w:val="21"/>
          <w:szCs w:val="21"/>
          <w:lang w:eastAsia="pt-BR"/>
        </w:rPr>
        <w:t xml:space="preserve">Os casos omissos desta ARP serão resolvidos de acordo com a legislação vigente, particularmente com a </w:t>
      </w:r>
      <w:r>
        <w:rPr>
          <w:sz w:val="21"/>
          <w:szCs w:val="21"/>
        </w:rPr>
        <w:fldChar w:fldCharType="begin"/>
      </w:r>
      <w:r>
        <w:rPr>
          <w:sz w:val="21"/>
          <w:szCs w:val="21"/>
        </w:rPr>
        <w:instrText xml:space="preserve"> HYPERLINK "https://www.planalto.gov.br/ccivil_03/_ato2019-2022/2021/lei/l14133.htm" \h </w:instrText>
      </w:r>
      <w:r>
        <w:rPr>
          <w:sz w:val="21"/>
          <w:szCs w:val="21"/>
        </w:rPr>
        <w:fldChar w:fldCharType="separate"/>
      </w:r>
      <w:r>
        <w:rPr>
          <w:rStyle w:val="62"/>
          <w:rFonts w:ascii="Times New Roman" w:hAnsi="Times New Roman"/>
          <w:sz w:val="21"/>
          <w:szCs w:val="21"/>
          <w:lang w:eastAsia="pt-BR"/>
        </w:rPr>
        <w:t>Lei Federal nº 14.133, de 2021</w:t>
      </w:r>
      <w:r>
        <w:rPr>
          <w:rStyle w:val="62"/>
          <w:rFonts w:ascii="Times New Roman" w:hAnsi="Times New Roman"/>
          <w:sz w:val="21"/>
          <w:szCs w:val="21"/>
          <w:lang w:eastAsia="pt-BR"/>
        </w:rPr>
        <w:fldChar w:fldCharType="end"/>
      </w:r>
      <w:r>
        <w:rPr>
          <w:rStyle w:val="62"/>
          <w:rFonts w:ascii="Times New Roman" w:hAnsi="Times New Roman" w:cs="Times New Roman"/>
          <w:sz w:val="21"/>
          <w:szCs w:val="21"/>
          <w:lang w:eastAsia="pt-BR"/>
        </w:rPr>
        <w:t>.</w:t>
      </w:r>
    </w:p>
    <w:p w14:paraId="6895AD1F">
      <w:pPr>
        <w:tabs>
          <w:tab w:val="left" w:pos="1134"/>
          <w:tab w:val="left" w:pos="3001"/>
        </w:tabs>
        <w:spacing w:before="120" w:after="120" w:line="240" w:lineRule="auto"/>
        <w:jc w:val="both"/>
        <w:rPr>
          <w:rFonts w:ascii="Times New Roman" w:hAnsi="Times New Roman" w:cs="Times New Roman"/>
          <w:sz w:val="21"/>
          <w:szCs w:val="21"/>
          <w:lang w:eastAsia="pt-BR"/>
        </w:rPr>
      </w:pPr>
    </w:p>
    <w:p w14:paraId="7D3D396C">
      <w:pPr>
        <w:tabs>
          <w:tab w:val="left" w:pos="1134"/>
          <w:tab w:val="left" w:pos="3001"/>
        </w:tabs>
        <w:spacing w:before="120" w:after="120" w:line="240" w:lineRule="auto"/>
        <w:ind w:firstLine="567"/>
        <w:jc w:val="right"/>
        <w:rPr>
          <w:rFonts w:ascii="Times New Roman" w:hAnsi="Times New Roman"/>
          <w:sz w:val="21"/>
          <w:szCs w:val="21"/>
          <w:lang w:eastAsia="pt-BR"/>
        </w:rPr>
      </w:pPr>
      <w:r>
        <w:rPr>
          <w:rFonts w:ascii="Times New Roman" w:hAnsi="Times New Roman" w:cs="Times New Roman"/>
          <w:sz w:val="21"/>
          <w:szCs w:val="21"/>
          <w:lang w:eastAsia="pt-BR"/>
        </w:rPr>
        <w:t xml:space="preserve">Primavera do Leste - </w:t>
      </w:r>
      <w:r>
        <w:rPr>
          <w:rFonts w:ascii="Times New Roman" w:hAnsi="Times New Roman" w:cs="Times New Roman"/>
          <w:sz w:val="21"/>
          <w:szCs w:val="21"/>
          <w:shd w:val="clear" w:fill="auto"/>
          <w:lang w:eastAsia="pt-BR"/>
        </w:rPr>
        <w:t>MT, em ______, de  __________de ______.</w:t>
      </w:r>
    </w:p>
    <w:p w14:paraId="7C37F0E5">
      <w:pPr>
        <w:tabs>
          <w:tab w:val="left" w:pos="3001"/>
        </w:tabs>
        <w:rPr>
          <w:rFonts w:ascii="Times New Roman" w:hAnsi="Times New Roman"/>
          <w:sz w:val="21"/>
          <w:szCs w:val="21"/>
          <w:lang w:eastAsia="pt-BR"/>
        </w:rPr>
      </w:pPr>
    </w:p>
    <w:tbl>
      <w:tblPr>
        <w:tblStyle w:val="4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5"/>
        <w:gridCol w:w="4465"/>
      </w:tblGrid>
      <w:tr w14:paraId="2186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5" w:type="dxa"/>
            <w:tcBorders>
              <w:top w:val="nil"/>
              <w:left w:val="nil"/>
              <w:bottom w:val="nil"/>
              <w:right w:val="nil"/>
            </w:tcBorders>
          </w:tcPr>
          <w:p w14:paraId="38980FD5">
            <w:pPr>
              <w:widowControl/>
              <w:tabs>
                <w:tab w:val="left" w:pos="3001"/>
              </w:tabs>
              <w:suppressAutoHyphens/>
              <w:spacing w:before="0" w:after="0" w:line="240" w:lineRule="auto"/>
              <w:jc w:val="left"/>
              <w:rPr>
                <w:rFonts w:ascii="Times New Roman" w:hAnsi="Times New Roman"/>
                <w:sz w:val="21"/>
                <w:szCs w:val="21"/>
              </w:rPr>
            </w:pPr>
            <w:r>
              <w:rPr>
                <w:rFonts w:ascii="Times New Roman" w:hAnsi="Times New Roman" w:eastAsia="Calibri" w:cs="Times New Roman"/>
                <w:kern w:val="0"/>
                <w:sz w:val="21"/>
                <w:szCs w:val="21"/>
                <w:lang w:val="pt-BR" w:eastAsia="pt-BR" w:bidi="ar-SA"/>
              </w:rPr>
              <w:t>Assinatura de Representante da Câmara</w:t>
            </w:r>
          </w:p>
        </w:tc>
        <w:tc>
          <w:tcPr>
            <w:tcW w:w="4465" w:type="dxa"/>
            <w:tcBorders>
              <w:top w:val="nil"/>
              <w:left w:val="nil"/>
              <w:bottom w:val="nil"/>
              <w:right w:val="nil"/>
            </w:tcBorders>
          </w:tcPr>
          <w:p w14:paraId="08ADB018">
            <w:pPr>
              <w:widowControl/>
              <w:tabs>
                <w:tab w:val="left" w:pos="3001"/>
              </w:tabs>
              <w:suppressAutoHyphens/>
              <w:spacing w:before="0" w:after="0" w:line="240" w:lineRule="auto"/>
              <w:jc w:val="left"/>
              <w:rPr>
                <w:rFonts w:ascii="Times New Roman" w:hAnsi="Times New Roman"/>
                <w:sz w:val="21"/>
                <w:szCs w:val="21"/>
              </w:rPr>
            </w:pPr>
            <w:r>
              <w:rPr>
                <w:rFonts w:ascii="Times New Roman" w:hAnsi="Times New Roman" w:eastAsia="Calibri" w:cs="Times New Roman"/>
                <w:kern w:val="0"/>
                <w:sz w:val="21"/>
                <w:szCs w:val="21"/>
                <w:lang w:val="pt-BR" w:eastAsia="pt-BR" w:bidi="ar-SA"/>
              </w:rPr>
              <w:t>Assinatura de Representante do Fornecedor</w:t>
            </w:r>
          </w:p>
        </w:tc>
      </w:tr>
    </w:tbl>
    <w:p w14:paraId="6F8609EB">
      <w:pPr>
        <w:tabs>
          <w:tab w:val="left" w:pos="3001"/>
        </w:tabs>
        <w:rPr>
          <w:rFonts w:ascii="Times New Roman" w:hAnsi="Times New Roman"/>
          <w:sz w:val="21"/>
          <w:szCs w:val="21"/>
          <w:lang w:eastAsia="pt-BR"/>
        </w:rPr>
      </w:pPr>
    </w:p>
    <w:p w14:paraId="33A50D22">
      <w:pPr>
        <w:rPr>
          <w:rFonts w:ascii="Times New Roman" w:hAnsi="Times New Roman"/>
          <w:sz w:val="21"/>
          <w:szCs w:val="21"/>
          <w:lang w:eastAsia="pt-BR"/>
        </w:rPr>
      </w:pPr>
      <w:r>
        <w:rPr>
          <w:sz w:val="21"/>
          <w:szCs w:val="21"/>
        </w:rPr>
        <w:br w:type="page"/>
      </w:r>
    </w:p>
    <w:p w14:paraId="534F9757">
      <w:pPr>
        <w:tabs>
          <w:tab w:val="left" w:pos="3001"/>
        </w:tabs>
        <w:spacing w:before="0" w:after="120" w:line="240" w:lineRule="auto"/>
        <w:jc w:val="center"/>
        <w:rPr>
          <w:rFonts w:ascii="Times New Roman" w:hAnsi="Times New Roman"/>
          <w:sz w:val="21"/>
          <w:szCs w:val="21"/>
        </w:rPr>
      </w:pPr>
      <w:r>
        <w:rPr>
          <w:rFonts w:ascii="Times New Roman" w:hAnsi="Times New Roman" w:cs="Times New Roman"/>
          <w:b/>
          <w:bCs/>
          <w:sz w:val="21"/>
          <w:szCs w:val="21"/>
          <w:u w:val="single"/>
          <w:lang w:eastAsia="pt-BR"/>
        </w:rPr>
        <w:t>ANEXO A - CADASTRO DE RESERVA</w:t>
      </w:r>
    </w:p>
    <w:p w14:paraId="0D27F557">
      <w:pPr>
        <w:tabs>
          <w:tab w:val="left" w:pos="3001"/>
        </w:tabs>
        <w:spacing w:before="120" w:after="120" w:line="240" w:lineRule="auto"/>
        <w:rPr>
          <w:rFonts w:ascii="Times New Roman" w:hAnsi="Times New Roman"/>
          <w:sz w:val="21"/>
          <w:szCs w:val="21"/>
          <w:highlight w:val="none"/>
        </w:rPr>
      </w:pPr>
      <w:r>
        <w:rPr>
          <w:rFonts w:ascii="Times New Roman" w:hAnsi="Times New Roman" w:cs="Times New Roman"/>
          <w:b/>
          <w:bCs/>
          <w:sz w:val="21"/>
          <w:szCs w:val="21"/>
          <w:u w:val="single"/>
          <w:lang w:eastAsia="pt-BR"/>
        </w:rPr>
        <w:t>2ª</w:t>
      </w:r>
      <w:r>
        <w:rPr>
          <w:rFonts w:ascii="Times New Roman" w:hAnsi="Times New Roman" w:cs="Times New Roman"/>
          <w:b/>
          <w:bCs/>
          <w:sz w:val="21"/>
          <w:szCs w:val="21"/>
          <w:highlight w:val="none"/>
          <w:u w:val="single"/>
          <w:lang w:eastAsia="pt-BR"/>
        </w:rPr>
        <w:t xml:space="preserve"> Classificada</w:t>
      </w:r>
      <w:r>
        <w:rPr>
          <w:rFonts w:ascii="Times New Roman" w:hAnsi="Times New Roman" w:cs="Times New Roman"/>
          <w:b/>
          <w:bCs/>
          <w:sz w:val="21"/>
          <w:szCs w:val="21"/>
          <w:highlight w:val="none"/>
          <w:lang w:eastAsia="pt-BR"/>
        </w:rPr>
        <w:t>:</w:t>
      </w:r>
    </w:p>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14:paraId="7D2D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14:paraId="139DE9DC">
            <w:pPr>
              <w:widowControl/>
              <w:tabs>
                <w:tab w:val="left" w:pos="3001"/>
              </w:tabs>
              <w:suppressAutoHyphens/>
              <w:spacing w:before="0" w:after="0" w:line="240" w:lineRule="auto"/>
              <w:jc w:val="left"/>
              <w:rPr>
                <w:rFonts w:ascii="Times New Roman" w:hAnsi="Times New Roman"/>
                <w:sz w:val="21"/>
                <w:szCs w:val="21"/>
                <w:highlight w:val="none"/>
              </w:rPr>
            </w:pPr>
            <w:r>
              <w:rPr>
                <w:rFonts w:ascii="Times New Roman" w:hAnsi="Times New Roman" w:eastAsia="Calibri" w:cs="Times New Roman"/>
                <w:kern w:val="0"/>
                <w:sz w:val="21"/>
                <w:szCs w:val="21"/>
                <w:highlight w:val="none"/>
                <w:lang w:val="pt-BR" w:eastAsia="pt-BR" w:bidi="ar-SA"/>
              </w:rPr>
              <w:t>Empresa: XXX - CNPJ: XXX</w:t>
            </w:r>
          </w:p>
          <w:p w14:paraId="050F50FF">
            <w:pPr>
              <w:widowControl/>
              <w:tabs>
                <w:tab w:val="left" w:pos="3001"/>
              </w:tabs>
              <w:suppressAutoHyphens/>
              <w:spacing w:before="0" w:after="0" w:line="240" w:lineRule="auto"/>
              <w:jc w:val="left"/>
              <w:rPr>
                <w:rFonts w:ascii="Times New Roman" w:hAnsi="Times New Roman"/>
                <w:sz w:val="21"/>
                <w:szCs w:val="21"/>
                <w:highlight w:val="none"/>
              </w:rPr>
            </w:pPr>
            <w:r>
              <w:rPr>
                <w:rFonts w:ascii="Times New Roman" w:hAnsi="Times New Roman" w:eastAsia="Calibri" w:cs="Times New Roman"/>
                <w:kern w:val="0"/>
                <w:sz w:val="21"/>
                <w:szCs w:val="21"/>
                <w:highlight w:val="none"/>
                <w:lang w:val="pt-BR" w:eastAsia="pt-BR" w:bidi="ar-SA"/>
              </w:rPr>
              <w:t>Representante Legal: XXX</w:t>
            </w:r>
          </w:p>
          <w:p w14:paraId="1BFD1E30">
            <w:pPr>
              <w:widowControl/>
              <w:tabs>
                <w:tab w:val="left" w:pos="3001"/>
              </w:tabs>
              <w:suppressAutoHyphens/>
              <w:spacing w:before="0" w:after="0" w:line="240" w:lineRule="auto"/>
              <w:jc w:val="left"/>
              <w:rPr>
                <w:rFonts w:ascii="Times New Roman" w:hAnsi="Times New Roman"/>
                <w:sz w:val="21"/>
                <w:szCs w:val="21"/>
                <w:highlight w:val="none"/>
              </w:rPr>
            </w:pPr>
            <w:r>
              <w:rPr>
                <w:rFonts w:ascii="Times New Roman" w:hAnsi="Times New Roman" w:eastAsia="Calibri" w:cs="Times New Roman"/>
                <w:kern w:val="0"/>
                <w:sz w:val="21"/>
                <w:szCs w:val="21"/>
                <w:highlight w:val="none"/>
                <w:lang w:val="pt-BR" w:eastAsia="pt-BR" w:bidi="ar-SA"/>
              </w:rPr>
              <w:t>Telefone: (XX) XXXX-XXXX - E-mail: XXX</w:t>
            </w:r>
          </w:p>
          <w:p w14:paraId="0BFC76DB">
            <w:pPr>
              <w:widowControl/>
              <w:tabs>
                <w:tab w:val="left" w:pos="3001"/>
              </w:tabs>
              <w:suppressAutoHyphens/>
              <w:spacing w:before="0" w:after="0" w:line="240" w:lineRule="auto"/>
              <w:jc w:val="left"/>
              <w:rPr>
                <w:rFonts w:ascii="Times New Roman" w:hAnsi="Times New Roman"/>
                <w:sz w:val="21"/>
                <w:szCs w:val="21"/>
                <w:highlight w:val="none"/>
              </w:rPr>
            </w:pPr>
            <w:r>
              <w:rPr>
                <w:rFonts w:ascii="Times New Roman" w:hAnsi="Times New Roman" w:eastAsia="Calibri" w:cs="Times New Roman"/>
                <w:kern w:val="0"/>
                <w:sz w:val="21"/>
                <w:szCs w:val="21"/>
                <w:highlight w:val="none"/>
                <w:lang w:val="pt-BR" w:eastAsia="pt-BR" w:bidi="ar-SA"/>
              </w:rPr>
              <w:t>Endereço: XXX</w:t>
            </w:r>
          </w:p>
        </w:tc>
      </w:tr>
      <w:tr w14:paraId="2C8E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14:paraId="72E759F0">
            <w:pPr>
              <w:widowControl/>
              <w:tabs>
                <w:tab w:val="left" w:pos="3001"/>
              </w:tabs>
              <w:suppressAutoHyphens/>
              <w:spacing w:before="0" w:after="0" w:line="240" w:lineRule="auto"/>
              <w:jc w:val="center"/>
              <w:rPr>
                <w:rFonts w:ascii="Times New Roman" w:hAnsi="Times New Roman"/>
                <w:sz w:val="21"/>
                <w:szCs w:val="21"/>
                <w:highlight w:val="none"/>
              </w:rPr>
            </w:pPr>
            <w:r>
              <w:rPr>
                <w:rFonts w:ascii="Times New Roman" w:hAnsi="Times New Roman" w:eastAsia="Calibri" w:cs="Times New Roman"/>
                <w:b/>
                <w:bCs/>
                <w:kern w:val="0"/>
                <w:sz w:val="21"/>
                <w:szCs w:val="21"/>
                <w:highlight w:val="none"/>
                <w:lang w:val="pt-BR" w:eastAsia="pt-BR" w:bidi="ar-SA"/>
              </w:rPr>
              <w:t>Item</w:t>
            </w:r>
            <w:r>
              <w:rPr>
                <w:rFonts w:ascii="Times New Roman" w:hAnsi="Times New Roman" w:eastAsia="Calibri" w:cs="Times New Roman"/>
                <w:b/>
                <w:bCs/>
                <w:kern w:val="0"/>
                <w:sz w:val="21"/>
                <w:szCs w:val="21"/>
                <w:highlight w:val="none"/>
                <w:lang w:val="pt-BR" w:eastAsia="pt-BR" w:bidi="ar-SA"/>
              </w:rPr>
              <w:br w:type="textWrapping"/>
            </w:r>
            <w:r>
              <w:rPr>
                <w:rFonts w:ascii="Times New Roman" w:hAnsi="Times New Roman" w:eastAsia="Calibri" w:cs="Times New Roman"/>
                <w:b/>
                <w:bCs/>
                <w:kern w:val="0"/>
                <w:sz w:val="21"/>
                <w:szCs w:val="21"/>
                <w:highlight w:val="none"/>
                <w:lang w:val="pt-BR" w:eastAsia="pt-BR" w:bidi="ar-SA"/>
              </w:rPr>
              <w:t>T.R.</w:t>
            </w:r>
          </w:p>
        </w:tc>
        <w:tc>
          <w:tcPr>
            <w:tcW w:w="2560" w:type="dxa"/>
            <w:shd w:val="clear" w:color="auto" w:fill="D8D8D8" w:themeFill="background1" w:themeFillShade="D9"/>
            <w:vAlign w:val="center"/>
          </w:tcPr>
          <w:p w14:paraId="7EC450AC">
            <w:pPr>
              <w:widowControl/>
              <w:tabs>
                <w:tab w:val="left" w:pos="3001"/>
              </w:tabs>
              <w:suppressAutoHyphens/>
              <w:spacing w:before="0" w:after="0" w:line="240" w:lineRule="auto"/>
              <w:jc w:val="center"/>
              <w:rPr>
                <w:rFonts w:ascii="Times New Roman" w:hAnsi="Times New Roman"/>
                <w:sz w:val="21"/>
                <w:szCs w:val="21"/>
                <w:highlight w:val="none"/>
              </w:rPr>
            </w:pPr>
            <w:r>
              <w:rPr>
                <w:rFonts w:ascii="Times New Roman" w:hAnsi="Times New Roman" w:eastAsia="Calibri" w:cs="Times New Roman"/>
                <w:b/>
                <w:bCs/>
                <w:kern w:val="0"/>
                <w:sz w:val="21"/>
                <w:szCs w:val="21"/>
                <w:highlight w:val="none"/>
                <w:lang w:val="pt-BR" w:eastAsia="pt-BR" w:bidi="ar-SA"/>
              </w:rPr>
              <w:t>Especificação</w:t>
            </w:r>
          </w:p>
        </w:tc>
        <w:tc>
          <w:tcPr>
            <w:tcW w:w="1134" w:type="dxa"/>
            <w:shd w:val="clear" w:color="auto" w:fill="D8D8D8" w:themeFill="background1" w:themeFillShade="D9"/>
            <w:vAlign w:val="center"/>
          </w:tcPr>
          <w:p w14:paraId="28D880DF">
            <w:pPr>
              <w:widowControl/>
              <w:tabs>
                <w:tab w:val="left" w:pos="3001"/>
              </w:tabs>
              <w:suppressAutoHyphens/>
              <w:spacing w:before="0" w:after="0" w:line="240" w:lineRule="auto"/>
              <w:jc w:val="center"/>
              <w:rPr>
                <w:rFonts w:ascii="Times New Roman" w:hAnsi="Times New Roman"/>
                <w:sz w:val="21"/>
                <w:szCs w:val="21"/>
                <w:highlight w:val="none"/>
              </w:rPr>
            </w:pPr>
            <w:r>
              <w:rPr>
                <w:rFonts w:ascii="Times New Roman" w:hAnsi="Times New Roman" w:eastAsia="Calibri" w:cs="Times New Roman"/>
                <w:b/>
                <w:bCs/>
                <w:kern w:val="0"/>
                <w:sz w:val="21"/>
                <w:szCs w:val="21"/>
                <w:highlight w:val="none"/>
                <w:lang w:val="pt-BR" w:eastAsia="pt-BR" w:bidi="ar-SA"/>
              </w:rPr>
              <w:t>Marca</w:t>
            </w:r>
          </w:p>
        </w:tc>
        <w:tc>
          <w:tcPr>
            <w:tcW w:w="1418" w:type="dxa"/>
            <w:shd w:val="clear" w:color="auto" w:fill="D8D8D8" w:themeFill="background1" w:themeFillShade="D9"/>
            <w:vAlign w:val="center"/>
          </w:tcPr>
          <w:p w14:paraId="3A01A541">
            <w:pPr>
              <w:widowControl/>
              <w:tabs>
                <w:tab w:val="left" w:pos="3001"/>
              </w:tabs>
              <w:suppressAutoHyphens/>
              <w:spacing w:before="0" w:after="0" w:line="240" w:lineRule="auto"/>
              <w:jc w:val="center"/>
              <w:rPr>
                <w:rFonts w:ascii="Times New Roman" w:hAnsi="Times New Roman"/>
                <w:sz w:val="21"/>
                <w:szCs w:val="21"/>
                <w:highlight w:val="none"/>
              </w:rPr>
            </w:pPr>
            <w:r>
              <w:rPr>
                <w:rFonts w:ascii="Times New Roman" w:hAnsi="Times New Roman" w:eastAsia="Calibri" w:cs="Times New Roman"/>
                <w:b/>
                <w:bCs/>
                <w:kern w:val="0"/>
                <w:sz w:val="21"/>
                <w:szCs w:val="21"/>
                <w:highlight w:val="none"/>
                <w:lang w:val="pt-BR" w:eastAsia="pt-BR" w:bidi="ar-SA"/>
              </w:rPr>
              <w:t>Modelo</w:t>
            </w:r>
          </w:p>
        </w:tc>
        <w:tc>
          <w:tcPr>
            <w:tcW w:w="851" w:type="dxa"/>
            <w:shd w:val="clear" w:color="auto" w:fill="D8D8D8" w:themeFill="background1" w:themeFillShade="D9"/>
            <w:vAlign w:val="center"/>
          </w:tcPr>
          <w:p w14:paraId="4B8FAB2D">
            <w:pPr>
              <w:widowControl/>
              <w:tabs>
                <w:tab w:val="left" w:pos="3001"/>
              </w:tabs>
              <w:suppressAutoHyphens/>
              <w:spacing w:before="0" w:after="0" w:line="240" w:lineRule="auto"/>
              <w:jc w:val="center"/>
              <w:rPr>
                <w:rFonts w:ascii="Times New Roman" w:hAnsi="Times New Roman"/>
                <w:sz w:val="21"/>
                <w:szCs w:val="21"/>
                <w:highlight w:val="none"/>
              </w:rPr>
            </w:pPr>
            <w:r>
              <w:rPr>
                <w:rFonts w:ascii="Times New Roman" w:hAnsi="Times New Roman" w:eastAsia="Calibri" w:cs="Times New Roman"/>
                <w:b/>
                <w:bCs/>
                <w:kern w:val="0"/>
                <w:sz w:val="21"/>
                <w:szCs w:val="21"/>
                <w:highlight w:val="none"/>
                <w:lang w:val="pt-BR" w:eastAsia="pt-BR" w:bidi="ar-SA"/>
              </w:rPr>
              <w:t>Unidade</w:t>
            </w:r>
          </w:p>
        </w:tc>
        <w:tc>
          <w:tcPr>
            <w:tcW w:w="850" w:type="dxa"/>
            <w:shd w:val="clear" w:color="auto" w:fill="D8D8D8" w:themeFill="background1" w:themeFillShade="D9"/>
            <w:vAlign w:val="center"/>
          </w:tcPr>
          <w:p w14:paraId="32FF4952">
            <w:pPr>
              <w:widowControl/>
              <w:tabs>
                <w:tab w:val="left" w:pos="3001"/>
              </w:tabs>
              <w:suppressAutoHyphens/>
              <w:spacing w:before="0" w:after="0" w:line="240" w:lineRule="auto"/>
              <w:jc w:val="center"/>
              <w:rPr>
                <w:rFonts w:ascii="Times New Roman" w:hAnsi="Times New Roman"/>
                <w:sz w:val="21"/>
                <w:szCs w:val="21"/>
                <w:highlight w:val="none"/>
              </w:rPr>
            </w:pPr>
            <w:r>
              <w:rPr>
                <w:rFonts w:ascii="Times New Roman" w:hAnsi="Times New Roman" w:eastAsia="Calibri" w:cs="Times New Roman"/>
                <w:b/>
                <w:bCs/>
                <w:kern w:val="0"/>
                <w:sz w:val="21"/>
                <w:szCs w:val="21"/>
                <w:highlight w:val="none"/>
                <w:lang w:val="pt-BR" w:eastAsia="pt-BR" w:bidi="ar-SA"/>
              </w:rPr>
              <w:t>Qtde</w:t>
            </w:r>
            <w:r>
              <w:rPr>
                <w:rFonts w:ascii="Times New Roman" w:hAnsi="Times New Roman" w:eastAsia="Calibri" w:cs="Times New Roman"/>
                <w:b/>
                <w:bCs/>
                <w:kern w:val="0"/>
                <w:sz w:val="21"/>
                <w:szCs w:val="21"/>
                <w:highlight w:val="none"/>
                <w:lang w:val="pt-BR" w:eastAsia="pt-BR" w:bidi="ar-SA"/>
              </w:rPr>
              <w:br w:type="textWrapping"/>
            </w:r>
            <w:r>
              <w:rPr>
                <w:rFonts w:ascii="Times New Roman" w:hAnsi="Times New Roman" w:eastAsia="Calibri" w:cs="Times New Roman"/>
                <w:b/>
                <w:bCs/>
                <w:kern w:val="0"/>
                <w:sz w:val="21"/>
                <w:szCs w:val="21"/>
                <w:highlight w:val="none"/>
                <w:lang w:val="pt-BR" w:eastAsia="pt-BR" w:bidi="ar-SA"/>
              </w:rPr>
              <w:t>Máxima</w:t>
            </w:r>
          </w:p>
        </w:tc>
        <w:tc>
          <w:tcPr>
            <w:tcW w:w="855" w:type="dxa"/>
            <w:shd w:val="clear" w:color="auto" w:fill="D8D8D8" w:themeFill="background1" w:themeFillShade="D9"/>
            <w:vAlign w:val="center"/>
          </w:tcPr>
          <w:p w14:paraId="3BD49169">
            <w:pPr>
              <w:widowControl/>
              <w:tabs>
                <w:tab w:val="left" w:pos="3001"/>
              </w:tabs>
              <w:suppressAutoHyphens/>
              <w:spacing w:before="0" w:after="0" w:line="240" w:lineRule="auto"/>
              <w:jc w:val="center"/>
              <w:rPr>
                <w:rFonts w:ascii="Times New Roman" w:hAnsi="Times New Roman"/>
                <w:sz w:val="21"/>
                <w:szCs w:val="21"/>
                <w:highlight w:val="none"/>
              </w:rPr>
            </w:pPr>
            <w:r>
              <w:rPr>
                <w:rFonts w:ascii="Times New Roman" w:hAnsi="Times New Roman" w:eastAsia="Calibri" w:cs="Times New Roman"/>
                <w:b/>
                <w:bCs/>
                <w:kern w:val="0"/>
                <w:sz w:val="21"/>
                <w:szCs w:val="21"/>
                <w:highlight w:val="none"/>
                <w:lang w:val="pt-BR" w:eastAsia="pt-BR" w:bidi="ar-SA"/>
              </w:rPr>
              <w:t>Qtde</w:t>
            </w:r>
            <w:r>
              <w:rPr>
                <w:rFonts w:ascii="Times New Roman" w:hAnsi="Times New Roman" w:eastAsia="Calibri" w:cs="Times New Roman"/>
                <w:b/>
                <w:bCs/>
                <w:kern w:val="0"/>
                <w:sz w:val="21"/>
                <w:szCs w:val="21"/>
                <w:highlight w:val="none"/>
                <w:lang w:val="pt-BR" w:eastAsia="pt-BR" w:bidi="ar-SA"/>
              </w:rPr>
              <w:br w:type="textWrapping"/>
            </w:r>
            <w:r>
              <w:rPr>
                <w:rFonts w:ascii="Times New Roman" w:hAnsi="Times New Roman" w:eastAsia="Calibri" w:cs="Times New Roman"/>
                <w:b/>
                <w:bCs/>
                <w:kern w:val="0"/>
                <w:sz w:val="21"/>
                <w:szCs w:val="21"/>
                <w:highlight w:val="none"/>
                <w:lang w:val="pt-BR" w:eastAsia="pt-BR" w:bidi="ar-SA"/>
              </w:rPr>
              <w:t>Mínima</w:t>
            </w:r>
          </w:p>
        </w:tc>
        <w:tc>
          <w:tcPr>
            <w:tcW w:w="845" w:type="dxa"/>
            <w:shd w:val="clear" w:color="auto" w:fill="D8D8D8" w:themeFill="background1" w:themeFillShade="D9"/>
            <w:vAlign w:val="center"/>
          </w:tcPr>
          <w:p w14:paraId="67286FCE">
            <w:pPr>
              <w:widowControl/>
              <w:tabs>
                <w:tab w:val="left" w:pos="3001"/>
              </w:tabs>
              <w:suppressAutoHyphens/>
              <w:spacing w:before="0" w:after="0" w:line="240" w:lineRule="auto"/>
              <w:jc w:val="center"/>
              <w:rPr>
                <w:rFonts w:ascii="Times New Roman" w:hAnsi="Times New Roman"/>
                <w:sz w:val="21"/>
                <w:szCs w:val="21"/>
                <w:highlight w:val="none"/>
              </w:rPr>
            </w:pPr>
            <w:r>
              <w:rPr>
                <w:rFonts w:ascii="Times New Roman" w:hAnsi="Times New Roman" w:eastAsia="Calibri" w:cs="Times New Roman"/>
                <w:b/>
                <w:bCs/>
                <w:kern w:val="0"/>
                <w:sz w:val="21"/>
                <w:szCs w:val="21"/>
                <w:highlight w:val="none"/>
                <w:lang w:val="pt-BR" w:eastAsia="pt-BR" w:bidi="ar-SA"/>
              </w:rPr>
              <w:t>Valor</w:t>
            </w:r>
            <w:r>
              <w:rPr>
                <w:rFonts w:ascii="Times New Roman" w:hAnsi="Times New Roman" w:eastAsia="Calibri" w:cs="Times New Roman"/>
                <w:b/>
                <w:bCs/>
                <w:kern w:val="0"/>
                <w:sz w:val="21"/>
                <w:szCs w:val="21"/>
                <w:highlight w:val="none"/>
                <w:lang w:val="pt-BR" w:eastAsia="pt-BR" w:bidi="ar-SA"/>
              </w:rPr>
              <w:br w:type="textWrapping"/>
            </w:r>
            <w:r>
              <w:rPr>
                <w:rFonts w:ascii="Times New Roman" w:hAnsi="Times New Roman" w:eastAsia="Calibri" w:cs="Times New Roman"/>
                <w:b/>
                <w:bCs/>
                <w:kern w:val="0"/>
                <w:sz w:val="21"/>
                <w:szCs w:val="21"/>
                <w:highlight w:val="none"/>
                <w:lang w:val="pt-BR" w:eastAsia="pt-BR" w:bidi="ar-SA"/>
              </w:rPr>
              <w:t>Unitário</w:t>
            </w:r>
          </w:p>
        </w:tc>
      </w:tr>
      <w:tr w14:paraId="48F7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02120E58">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2560" w:type="dxa"/>
          </w:tcPr>
          <w:p w14:paraId="07CD18BA">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1134" w:type="dxa"/>
          </w:tcPr>
          <w:p w14:paraId="11F9B163">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1418" w:type="dxa"/>
          </w:tcPr>
          <w:p w14:paraId="1FDD2255">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851" w:type="dxa"/>
          </w:tcPr>
          <w:p w14:paraId="53DDC6DD">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850" w:type="dxa"/>
          </w:tcPr>
          <w:p w14:paraId="7506C45C">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855" w:type="dxa"/>
          </w:tcPr>
          <w:p w14:paraId="220CED25">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845" w:type="dxa"/>
          </w:tcPr>
          <w:p w14:paraId="220FB81E">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r>
      <w:tr w14:paraId="52C2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3C17DD2D">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2560" w:type="dxa"/>
          </w:tcPr>
          <w:p w14:paraId="2E98C487">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1134" w:type="dxa"/>
          </w:tcPr>
          <w:p w14:paraId="2C0BB27C">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1418" w:type="dxa"/>
          </w:tcPr>
          <w:p w14:paraId="37938DE5">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851" w:type="dxa"/>
          </w:tcPr>
          <w:p w14:paraId="74357BAA">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850" w:type="dxa"/>
          </w:tcPr>
          <w:p w14:paraId="2F0C8B5C">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855" w:type="dxa"/>
          </w:tcPr>
          <w:p w14:paraId="1AF06286">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c>
          <w:tcPr>
            <w:tcW w:w="845" w:type="dxa"/>
          </w:tcPr>
          <w:p w14:paraId="4E1546C8">
            <w:pPr>
              <w:widowControl/>
              <w:tabs>
                <w:tab w:val="left" w:pos="3001"/>
              </w:tabs>
              <w:suppressAutoHyphens/>
              <w:spacing w:before="0" w:after="0" w:line="240" w:lineRule="auto"/>
              <w:jc w:val="left"/>
              <w:rPr>
                <w:rFonts w:ascii="Times New Roman" w:hAnsi="Times New Roman" w:cs="Times New Roman"/>
                <w:sz w:val="21"/>
                <w:szCs w:val="21"/>
                <w:highlight w:val="none"/>
                <w:lang w:eastAsia="pt-BR"/>
              </w:rPr>
            </w:pPr>
          </w:p>
        </w:tc>
      </w:tr>
    </w:tbl>
    <w:p w14:paraId="27303347">
      <w:pPr>
        <w:tabs>
          <w:tab w:val="left" w:pos="3001"/>
        </w:tabs>
        <w:rPr>
          <w:rFonts w:ascii="Times New Roman" w:hAnsi="Times New Roman" w:cs="Times New Roman"/>
          <w:sz w:val="21"/>
          <w:szCs w:val="21"/>
          <w:highlight w:val="none"/>
          <w:lang w:eastAsia="pt-BR"/>
        </w:rPr>
      </w:pPr>
    </w:p>
    <w:p w14:paraId="23AB6C58">
      <w:pPr>
        <w:tabs>
          <w:tab w:val="left" w:pos="3001"/>
        </w:tabs>
        <w:spacing w:before="120" w:after="120" w:line="240" w:lineRule="auto"/>
        <w:rPr>
          <w:rFonts w:ascii="Times New Roman" w:hAnsi="Times New Roman"/>
          <w:sz w:val="21"/>
          <w:szCs w:val="21"/>
          <w:highlight w:val="none"/>
        </w:rPr>
      </w:pPr>
      <w:r>
        <w:rPr>
          <w:rFonts w:ascii="Times New Roman" w:hAnsi="Times New Roman" w:cs="Times New Roman"/>
          <w:b/>
          <w:bCs/>
          <w:sz w:val="21"/>
          <w:szCs w:val="21"/>
          <w:highlight w:val="none"/>
          <w:u w:val="single"/>
          <w:lang w:eastAsia="pt-BR"/>
        </w:rPr>
        <w:t>3ª Classificada</w:t>
      </w:r>
      <w:r>
        <w:rPr>
          <w:rFonts w:ascii="Times New Roman" w:hAnsi="Times New Roman" w:cs="Times New Roman"/>
          <w:b/>
          <w:bCs/>
          <w:sz w:val="21"/>
          <w:szCs w:val="21"/>
          <w:highlight w:val="none"/>
          <w:lang w:eastAsia="pt-BR"/>
        </w:rPr>
        <w:t>:</w:t>
      </w:r>
    </w:p>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14:paraId="578B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14:paraId="62348356">
            <w:pPr>
              <w:widowControl/>
              <w:tabs>
                <w:tab w:val="left" w:pos="3001"/>
              </w:tabs>
              <w:suppressAutoHyphens/>
              <w:spacing w:before="0" w:after="0" w:line="240" w:lineRule="auto"/>
              <w:jc w:val="left"/>
              <w:rPr>
                <w:rFonts w:ascii="Times New Roman" w:hAnsi="Times New Roman"/>
                <w:sz w:val="21"/>
                <w:szCs w:val="21"/>
                <w:highlight w:val="none"/>
              </w:rPr>
            </w:pPr>
            <w:r>
              <w:rPr>
                <w:rFonts w:ascii="Times New Roman" w:hAnsi="Times New Roman" w:eastAsia="Calibri" w:cs="Times New Roman"/>
                <w:kern w:val="0"/>
                <w:sz w:val="21"/>
                <w:szCs w:val="21"/>
                <w:highlight w:val="none"/>
                <w:lang w:val="pt-BR" w:eastAsia="pt-BR" w:bidi="ar-SA"/>
              </w:rPr>
              <w:t>Empresa: XXX - CNPJ: XXX</w:t>
            </w:r>
          </w:p>
          <w:p w14:paraId="6F410EFC">
            <w:pPr>
              <w:widowControl/>
              <w:tabs>
                <w:tab w:val="left" w:pos="3001"/>
              </w:tabs>
              <w:suppressAutoHyphens/>
              <w:spacing w:before="0" w:after="0" w:line="240" w:lineRule="auto"/>
              <w:jc w:val="left"/>
              <w:rPr>
                <w:rFonts w:ascii="Times New Roman" w:hAnsi="Times New Roman"/>
                <w:sz w:val="21"/>
                <w:szCs w:val="21"/>
                <w:highlight w:val="none"/>
              </w:rPr>
            </w:pPr>
            <w:r>
              <w:rPr>
                <w:rFonts w:ascii="Times New Roman" w:hAnsi="Times New Roman" w:eastAsia="Calibri" w:cs="Times New Roman"/>
                <w:kern w:val="0"/>
                <w:sz w:val="21"/>
                <w:szCs w:val="21"/>
                <w:highlight w:val="none"/>
                <w:lang w:val="pt-BR" w:eastAsia="pt-BR" w:bidi="ar-SA"/>
              </w:rPr>
              <w:t>Representante Legal: XXX</w:t>
            </w:r>
          </w:p>
          <w:p w14:paraId="4CF1174F">
            <w:pPr>
              <w:widowControl/>
              <w:tabs>
                <w:tab w:val="left" w:pos="3001"/>
              </w:tabs>
              <w:suppressAutoHyphens/>
              <w:spacing w:before="0" w:after="0" w:line="240" w:lineRule="auto"/>
              <w:jc w:val="left"/>
              <w:rPr>
                <w:rFonts w:ascii="Times New Roman" w:hAnsi="Times New Roman"/>
                <w:sz w:val="21"/>
                <w:szCs w:val="21"/>
                <w:highlight w:val="none"/>
              </w:rPr>
            </w:pPr>
            <w:r>
              <w:rPr>
                <w:rFonts w:ascii="Times New Roman" w:hAnsi="Times New Roman" w:eastAsia="Calibri" w:cs="Times New Roman"/>
                <w:kern w:val="0"/>
                <w:sz w:val="21"/>
                <w:szCs w:val="21"/>
                <w:highlight w:val="none"/>
                <w:lang w:val="pt-BR" w:eastAsia="pt-BR" w:bidi="ar-SA"/>
              </w:rPr>
              <w:t>Telefone: (XX) XXXX-XXXX - E-mail: XXX</w:t>
            </w:r>
          </w:p>
          <w:p w14:paraId="6717EF6B">
            <w:pPr>
              <w:widowControl/>
              <w:tabs>
                <w:tab w:val="left" w:pos="3001"/>
              </w:tabs>
              <w:suppressAutoHyphens/>
              <w:spacing w:before="0" w:after="0" w:line="240" w:lineRule="auto"/>
              <w:jc w:val="left"/>
              <w:rPr>
                <w:rFonts w:ascii="Times New Roman" w:hAnsi="Times New Roman"/>
                <w:sz w:val="21"/>
                <w:szCs w:val="21"/>
                <w:highlight w:val="none"/>
              </w:rPr>
            </w:pPr>
            <w:r>
              <w:rPr>
                <w:rFonts w:ascii="Times New Roman" w:hAnsi="Times New Roman" w:eastAsia="Calibri" w:cs="Times New Roman"/>
                <w:kern w:val="0"/>
                <w:sz w:val="21"/>
                <w:szCs w:val="21"/>
                <w:highlight w:val="none"/>
                <w:lang w:val="pt-BR" w:eastAsia="pt-BR" w:bidi="ar-SA"/>
              </w:rPr>
              <w:t>Endereço: XXX</w:t>
            </w:r>
          </w:p>
        </w:tc>
      </w:tr>
      <w:tr w14:paraId="489A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14:paraId="7D1BC793">
            <w:pPr>
              <w:widowControl/>
              <w:tabs>
                <w:tab w:val="left" w:pos="3001"/>
              </w:tabs>
              <w:suppressAutoHyphens/>
              <w:spacing w:before="0" w:after="0" w:line="240" w:lineRule="auto"/>
              <w:jc w:val="center"/>
              <w:rPr>
                <w:rFonts w:ascii="Times New Roman" w:hAnsi="Times New Roman"/>
                <w:sz w:val="21"/>
                <w:szCs w:val="21"/>
              </w:rPr>
            </w:pPr>
            <w:r>
              <w:rPr>
                <w:rFonts w:ascii="Times New Roman" w:hAnsi="Times New Roman" w:eastAsia="Calibri" w:cs="Times New Roman"/>
                <w:b/>
                <w:bCs/>
                <w:kern w:val="0"/>
                <w:sz w:val="21"/>
                <w:szCs w:val="21"/>
                <w:lang w:val="pt-BR" w:eastAsia="pt-BR" w:bidi="ar-SA"/>
              </w:rPr>
              <w:t>Item</w:t>
            </w:r>
            <w:r>
              <w:rPr>
                <w:rFonts w:ascii="Times New Roman" w:hAnsi="Times New Roman" w:eastAsia="Calibri" w:cs="Times New Roman"/>
                <w:b/>
                <w:bCs/>
                <w:kern w:val="0"/>
                <w:sz w:val="21"/>
                <w:szCs w:val="21"/>
                <w:lang w:val="pt-BR" w:eastAsia="pt-BR" w:bidi="ar-SA"/>
              </w:rPr>
              <w:br w:type="textWrapping"/>
            </w:r>
            <w:r>
              <w:rPr>
                <w:rFonts w:ascii="Times New Roman" w:hAnsi="Times New Roman" w:eastAsia="Calibri" w:cs="Times New Roman"/>
                <w:b/>
                <w:bCs/>
                <w:kern w:val="0"/>
                <w:sz w:val="21"/>
                <w:szCs w:val="21"/>
                <w:lang w:val="pt-BR" w:eastAsia="pt-BR" w:bidi="ar-SA"/>
              </w:rPr>
              <w:t>T.R.</w:t>
            </w:r>
          </w:p>
        </w:tc>
        <w:tc>
          <w:tcPr>
            <w:tcW w:w="2560" w:type="dxa"/>
            <w:shd w:val="clear" w:color="auto" w:fill="D8D8D8" w:themeFill="background1" w:themeFillShade="D9"/>
            <w:vAlign w:val="center"/>
          </w:tcPr>
          <w:p w14:paraId="43C22CD0">
            <w:pPr>
              <w:widowControl/>
              <w:tabs>
                <w:tab w:val="left" w:pos="3001"/>
              </w:tabs>
              <w:suppressAutoHyphens/>
              <w:spacing w:before="0" w:after="0" w:line="240" w:lineRule="auto"/>
              <w:jc w:val="center"/>
              <w:rPr>
                <w:rFonts w:ascii="Times New Roman" w:hAnsi="Times New Roman"/>
                <w:sz w:val="21"/>
                <w:szCs w:val="21"/>
              </w:rPr>
            </w:pPr>
            <w:r>
              <w:rPr>
                <w:rFonts w:ascii="Times New Roman" w:hAnsi="Times New Roman" w:eastAsia="Calibri" w:cs="Times New Roman"/>
                <w:b/>
                <w:bCs/>
                <w:kern w:val="0"/>
                <w:sz w:val="21"/>
                <w:szCs w:val="21"/>
                <w:lang w:val="pt-BR" w:eastAsia="pt-BR" w:bidi="ar-SA"/>
              </w:rPr>
              <w:t>Especificação</w:t>
            </w:r>
          </w:p>
        </w:tc>
        <w:tc>
          <w:tcPr>
            <w:tcW w:w="1134" w:type="dxa"/>
            <w:shd w:val="clear" w:color="auto" w:fill="D8D8D8" w:themeFill="background1" w:themeFillShade="D9"/>
            <w:vAlign w:val="center"/>
          </w:tcPr>
          <w:p w14:paraId="0D0ECD05">
            <w:pPr>
              <w:widowControl/>
              <w:tabs>
                <w:tab w:val="left" w:pos="3001"/>
              </w:tabs>
              <w:suppressAutoHyphens/>
              <w:spacing w:before="0" w:after="0" w:line="240" w:lineRule="auto"/>
              <w:jc w:val="center"/>
              <w:rPr>
                <w:rFonts w:ascii="Times New Roman" w:hAnsi="Times New Roman"/>
                <w:sz w:val="21"/>
                <w:szCs w:val="21"/>
              </w:rPr>
            </w:pPr>
            <w:r>
              <w:rPr>
                <w:rFonts w:ascii="Times New Roman" w:hAnsi="Times New Roman" w:eastAsia="Calibri" w:cs="Times New Roman"/>
                <w:b/>
                <w:bCs/>
                <w:kern w:val="0"/>
                <w:sz w:val="21"/>
                <w:szCs w:val="21"/>
                <w:lang w:val="pt-BR" w:eastAsia="pt-BR" w:bidi="ar-SA"/>
              </w:rPr>
              <w:t>Marca</w:t>
            </w:r>
          </w:p>
        </w:tc>
        <w:tc>
          <w:tcPr>
            <w:tcW w:w="1418" w:type="dxa"/>
            <w:shd w:val="clear" w:color="auto" w:fill="D8D8D8" w:themeFill="background1" w:themeFillShade="D9"/>
            <w:vAlign w:val="center"/>
          </w:tcPr>
          <w:p w14:paraId="302C23E7">
            <w:pPr>
              <w:widowControl/>
              <w:tabs>
                <w:tab w:val="left" w:pos="3001"/>
              </w:tabs>
              <w:suppressAutoHyphens/>
              <w:spacing w:before="0" w:after="0" w:line="240" w:lineRule="auto"/>
              <w:jc w:val="center"/>
              <w:rPr>
                <w:rFonts w:ascii="Times New Roman" w:hAnsi="Times New Roman"/>
                <w:sz w:val="21"/>
                <w:szCs w:val="21"/>
              </w:rPr>
            </w:pPr>
            <w:r>
              <w:rPr>
                <w:rFonts w:ascii="Times New Roman" w:hAnsi="Times New Roman" w:eastAsia="Calibri" w:cs="Times New Roman"/>
                <w:b/>
                <w:bCs/>
                <w:kern w:val="0"/>
                <w:sz w:val="21"/>
                <w:szCs w:val="21"/>
                <w:lang w:val="pt-BR" w:eastAsia="pt-BR" w:bidi="ar-SA"/>
              </w:rPr>
              <w:t>Modelo</w:t>
            </w:r>
          </w:p>
        </w:tc>
        <w:tc>
          <w:tcPr>
            <w:tcW w:w="851" w:type="dxa"/>
            <w:shd w:val="clear" w:color="auto" w:fill="D8D8D8" w:themeFill="background1" w:themeFillShade="D9"/>
            <w:vAlign w:val="center"/>
          </w:tcPr>
          <w:p w14:paraId="2BF5FA4B">
            <w:pPr>
              <w:widowControl/>
              <w:tabs>
                <w:tab w:val="left" w:pos="3001"/>
              </w:tabs>
              <w:suppressAutoHyphens/>
              <w:spacing w:before="0" w:after="0" w:line="240" w:lineRule="auto"/>
              <w:jc w:val="center"/>
              <w:rPr>
                <w:rFonts w:ascii="Times New Roman" w:hAnsi="Times New Roman"/>
                <w:sz w:val="21"/>
                <w:szCs w:val="21"/>
              </w:rPr>
            </w:pPr>
            <w:r>
              <w:rPr>
                <w:rFonts w:ascii="Times New Roman" w:hAnsi="Times New Roman" w:eastAsia="Calibri" w:cs="Times New Roman"/>
                <w:b/>
                <w:bCs/>
                <w:kern w:val="0"/>
                <w:sz w:val="21"/>
                <w:szCs w:val="21"/>
                <w:lang w:val="pt-BR" w:eastAsia="pt-BR" w:bidi="ar-SA"/>
              </w:rPr>
              <w:t>Unidade</w:t>
            </w:r>
          </w:p>
        </w:tc>
        <w:tc>
          <w:tcPr>
            <w:tcW w:w="850" w:type="dxa"/>
            <w:shd w:val="clear" w:color="auto" w:fill="D8D8D8" w:themeFill="background1" w:themeFillShade="D9"/>
            <w:vAlign w:val="center"/>
          </w:tcPr>
          <w:p w14:paraId="0AE03680">
            <w:pPr>
              <w:widowControl/>
              <w:tabs>
                <w:tab w:val="left" w:pos="3001"/>
              </w:tabs>
              <w:suppressAutoHyphens/>
              <w:spacing w:before="0" w:after="0" w:line="240" w:lineRule="auto"/>
              <w:jc w:val="center"/>
              <w:rPr>
                <w:rFonts w:ascii="Times New Roman" w:hAnsi="Times New Roman"/>
                <w:sz w:val="21"/>
                <w:szCs w:val="21"/>
              </w:rPr>
            </w:pPr>
            <w:r>
              <w:rPr>
                <w:rFonts w:ascii="Times New Roman" w:hAnsi="Times New Roman" w:eastAsia="Calibri" w:cs="Times New Roman"/>
                <w:b/>
                <w:bCs/>
                <w:kern w:val="0"/>
                <w:sz w:val="21"/>
                <w:szCs w:val="21"/>
                <w:lang w:val="pt-BR" w:eastAsia="pt-BR" w:bidi="ar-SA"/>
              </w:rPr>
              <w:t>Qtde</w:t>
            </w:r>
            <w:r>
              <w:rPr>
                <w:rFonts w:ascii="Times New Roman" w:hAnsi="Times New Roman" w:eastAsia="Calibri" w:cs="Times New Roman"/>
                <w:b/>
                <w:bCs/>
                <w:kern w:val="0"/>
                <w:sz w:val="21"/>
                <w:szCs w:val="21"/>
                <w:lang w:val="pt-BR" w:eastAsia="pt-BR" w:bidi="ar-SA"/>
              </w:rPr>
              <w:br w:type="textWrapping"/>
            </w:r>
            <w:r>
              <w:rPr>
                <w:rFonts w:ascii="Times New Roman" w:hAnsi="Times New Roman" w:eastAsia="Calibri" w:cs="Times New Roman"/>
                <w:b/>
                <w:bCs/>
                <w:kern w:val="0"/>
                <w:sz w:val="21"/>
                <w:szCs w:val="21"/>
                <w:lang w:val="pt-BR" w:eastAsia="pt-BR" w:bidi="ar-SA"/>
              </w:rPr>
              <w:t>Máxima</w:t>
            </w:r>
          </w:p>
        </w:tc>
        <w:tc>
          <w:tcPr>
            <w:tcW w:w="855" w:type="dxa"/>
            <w:shd w:val="clear" w:color="auto" w:fill="D8D8D8" w:themeFill="background1" w:themeFillShade="D9"/>
            <w:vAlign w:val="center"/>
          </w:tcPr>
          <w:p w14:paraId="7CE64D28">
            <w:pPr>
              <w:widowControl/>
              <w:tabs>
                <w:tab w:val="left" w:pos="3001"/>
              </w:tabs>
              <w:suppressAutoHyphens/>
              <w:spacing w:before="0" w:after="0" w:line="240" w:lineRule="auto"/>
              <w:jc w:val="center"/>
              <w:rPr>
                <w:rFonts w:ascii="Times New Roman" w:hAnsi="Times New Roman"/>
                <w:sz w:val="21"/>
                <w:szCs w:val="21"/>
              </w:rPr>
            </w:pPr>
            <w:r>
              <w:rPr>
                <w:rFonts w:ascii="Times New Roman" w:hAnsi="Times New Roman" w:eastAsia="Calibri" w:cs="Times New Roman"/>
                <w:b/>
                <w:bCs/>
                <w:kern w:val="0"/>
                <w:sz w:val="21"/>
                <w:szCs w:val="21"/>
                <w:lang w:val="pt-BR" w:eastAsia="pt-BR" w:bidi="ar-SA"/>
              </w:rPr>
              <w:t>Qtde</w:t>
            </w:r>
            <w:r>
              <w:rPr>
                <w:rFonts w:ascii="Times New Roman" w:hAnsi="Times New Roman" w:eastAsia="Calibri" w:cs="Times New Roman"/>
                <w:b/>
                <w:bCs/>
                <w:kern w:val="0"/>
                <w:sz w:val="21"/>
                <w:szCs w:val="21"/>
                <w:lang w:val="pt-BR" w:eastAsia="pt-BR" w:bidi="ar-SA"/>
              </w:rPr>
              <w:br w:type="textWrapping"/>
            </w:r>
            <w:r>
              <w:rPr>
                <w:rFonts w:ascii="Times New Roman" w:hAnsi="Times New Roman" w:eastAsia="Calibri" w:cs="Times New Roman"/>
                <w:b/>
                <w:bCs/>
                <w:kern w:val="0"/>
                <w:sz w:val="21"/>
                <w:szCs w:val="21"/>
                <w:lang w:val="pt-BR" w:eastAsia="pt-BR" w:bidi="ar-SA"/>
              </w:rPr>
              <w:t>Mínima</w:t>
            </w:r>
          </w:p>
        </w:tc>
        <w:tc>
          <w:tcPr>
            <w:tcW w:w="845" w:type="dxa"/>
            <w:shd w:val="clear" w:color="auto" w:fill="D8D8D8" w:themeFill="background1" w:themeFillShade="D9"/>
            <w:vAlign w:val="center"/>
          </w:tcPr>
          <w:p w14:paraId="24EF6030">
            <w:pPr>
              <w:widowControl/>
              <w:tabs>
                <w:tab w:val="left" w:pos="3001"/>
              </w:tabs>
              <w:suppressAutoHyphens/>
              <w:spacing w:before="0" w:after="0" w:line="240" w:lineRule="auto"/>
              <w:jc w:val="center"/>
              <w:rPr>
                <w:rFonts w:ascii="Times New Roman" w:hAnsi="Times New Roman"/>
                <w:sz w:val="21"/>
                <w:szCs w:val="21"/>
              </w:rPr>
            </w:pPr>
            <w:r>
              <w:rPr>
                <w:rFonts w:ascii="Times New Roman" w:hAnsi="Times New Roman" w:eastAsia="Calibri" w:cs="Times New Roman"/>
                <w:b/>
                <w:bCs/>
                <w:kern w:val="0"/>
                <w:sz w:val="21"/>
                <w:szCs w:val="21"/>
                <w:lang w:val="pt-BR" w:eastAsia="pt-BR" w:bidi="ar-SA"/>
              </w:rPr>
              <w:t>Valor</w:t>
            </w:r>
            <w:r>
              <w:rPr>
                <w:rFonts w:ascii="Times New Roman" w:hAnsi="Times New Roman" w:eastAsia="Calibri" w:cs="Times New Roman"/>
                <w:b/>
                <w:bCs/>
                <w:kern w:val="0"/>
                <w:sz w:val="21"/>
                <w:szCs w:val="21"/>
                <w:lang w:val="pt-BR" w:eastAsia="pt-BR" w:bidi="ar-SA"/>
              </w:rPr>
              <w:br w:type="textWrapping"/>
            </w:r>
            <w:r>
              <w:rPr>
                <w:rFonts w:ascii="Times New Roman" w:hAnsi="Times New Roman" w:eastAsia="Calibri" w:cs="Times New Roman"/>
                <w:b/>
                <w:bCs/>
                <w:kern w:val="0"/>
                <w:sz w:val="21"/>
                <w:szCs w:val="21"/>
                <w:lang w:val="pt-BR" w:eastAsia="pt-BR" w:bidi="ar-SA"/>
              </w:rPr>
              <w:t>Unitário</w:t>
            </w:r>
          </w:p>
        </w:tc>
      </w:tr>
      <w:tr w14:paraId="473A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021EF18B">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2560" w:type="dxa"/>
          </w:tcPr>
          <w:p w14:paraId="7C6F054C">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1134" w:type="dxa"/>
          </w:tcPr>
          <w:p w14:paraId="71717EFC">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1418" w:type="dxa"/>
          </w:tcPr>
          <w:p w14:paraId="3B793F66">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851" w:type="dxa"/>
          </w:tcPr>
          <w:p w14:paraId="62A9E2B1">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850" w:type="dxa"/>
          </w:tcPr>
          <w:p w14:paraId="3683F71B">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855" w:type="dxa"/>
          </w:tcPr>
          <w:p w14:paraId="75210F50">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845" w:type="dxa"/>
          </w:tcPr>
          <w:p w14:paraId="2D4BCC9C">
            <w:pPr>
              <w:widowControl/>
              <w:tabs>
                <w:tab w:val="left" w:pos="3001"/>
              </w:tabs>
              <w:suppressAutoHyphens/>
              <w:spacing w:before="0" w:after="0" w:line="240" w:lineRule="auto"/>
              <w:jc w:val="left"/>
              <w:rPr>
                <w:rFonts w:ascii="Times New Roman" w:hAnsi="Times New Roman" w:cs="Times New Roman"/>
                <w:sz w:val="21"/>
                <w:szCs w:val="21"/>
                <w:lang w:eastAsia="pt-BR"/>
              </w:rPr>
            </w:pPr>
          </w:p>
        </w:tc>
      </w:tr>
      <w:tr w14:paraId="4C90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3C313975">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2560" w:type="dxa"/>
          </w:tcPr>
          <w:p w14:paraId="31A247C3">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1134" w:type="dxa"/>
          </w:tcPr>
          <w:p w14:paraId="0F5F15BE">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1418" w:type="dxa"/>
          </w:tcPr>
          <w:p w14:paraId="7479B2EA">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851" w:type="dxa"/>
          </w:tcPr>
          <w:p w14:paraId="1569A7C2">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850" w:type="dxa"/>
          </w:tcPr>
          <w:p w14:paraId="1177A3B5">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855" w:type="dxa"/>
          </w:tcPr>
          <w:p w14:paraId="47786996">
            <w:pPr>
              <w:widowControl/>
              <w:tabs>
                <w:tab w:val="left" w:pos="3001"/>
              </w:tabs>
              <w:suppressAutoHyphens/>
              <w:spacing w:before="0" w:after="0" w:line="240" w:lineRule="auto"/>
              <w:jc w:val="left"/>
              <w:rPr>
                <w:rFonts w:ascii="Times New Roman" w:hAnsi="Times New Roman" w:cs="Times New Roman"/>
                <w:sz w:val="21"/>
                <w:szCs w:val="21"/>
                <w:lang w:eastAsia="pt-BR"/>
              </w:rPr>
            </w:pPr>
          </w:p>
        </w:tc>
        <w:tc>
          <w:tcPr>
            <w:tcW w:w="845" w:type="dxa"/>
          </w:tcPr>
          <w:p w14:paraId="3F27DEAF">
            <w:pPr>
              <w:widowControl/>
              <w:tabs>
                <w:tab w:val="left" w:pos="3001"/>
              </w:tabs>
              <w:suppressAutoHyphens/>
              <w:spacing w:before="0" w:after="0" w:line="240" w:lineRule="auto"/>
              <w:jc w:val="left"/>
              <w:rPr>
                <w:rFonts w:ascii="Times New Roman" w:hAnsi="Times New Roman" w:cs="Times New Roman"/>
                <w:sz w:val="21"/>
                <w:szCs w:val="21"/>
                <w:lang w:eastAsia="pt-BR"/>
              </w:rPr>
            </w:pPr>
          </w:p>
        </w:tc>
      </w:tr>
    </w:tbl>
    <w:p w14:paraId="4CE7E038">
      <w:pPr>
        <w:tabs>
          <w:tab w:val="left" w:pos="3001"/>
        </w:tabs>
        <w:rPr>
          <w:rFonts w:ascii="Times New Roman" w:hAnsi="Times New Roman" w:cs="Times New Roman"/>
          <w:sz w:val="21"/>
          <w:szCs w:val="21"/>
          <w:lang w:eastAsia="pt-BR"/>
        </w:rPr>
      </w:pPr>
    </w:p>
    <w:p w14:paraId="45B47A55">
      <w:pPr>
        <w:rPr>
          <w:rFonts w:ascii="Times New Roman" w:hAnsi="Times New Roman" w:cs="Times New Roman"/>
          <w:sz w:val="21"/>
          <w:szCs w:val="21"/>
          <w:lang w:eastAsia="pt-BR"/>
        </w:rPr>
      </w:pPr>
      <w:r>
        <w:rPr>
          <w:sz w:val="21"/>
          <w:szCs w:val="21"/>
        </w:rPr>
        <w:br w:type="page"/>
      </w:r>
    </w:p>
    <w:p w14:paraId="0412369D">
      <w:pPr>
        <w:pStyle w:val="2"/>
        <w:numPr>
          <w:ilvl w:val="0"/>
          <w:numId w:val="0"/>
        </w:numPr>
        <w:spacing w:before="0" w:after="120"/>
        <w:ind w:left="0" w:firstLine="0"/>
        <w:jc w:val="center"/>
        <w:rPr>
          <w:rFonts w:hint="default" w:ascii="Times New Roman" w:hAnsi="Times New Roman"/>
          <w:sz w:val="22"/>
          <w:szCs w:val="22"/>
          <w:lang w:val="pt-BR"/>
        </w:rPr>
      </w:pPr>
      <w:bookmarkStart w:id="77" w:name="_Toc149517470"/>
      <w:r>
        <w:rPr>
          <w:sz w:val="22"/>
          <w:szCs w:val="22"/>
        </w:rPr>
        <w:t>ANEXO V</w:t>
      </w:r>
      <w:r>
        <w:rPr>
          <w:rFonts w:hint="default"/>
          <w:sz w:val="22"/>
          <w:szCs w:val="22"/>
          <w:lang w:val="pt-BR"/>
        </w:rPr>
        <w:t>II</w:t>
      </w:r>
      <w:r>
        <w:rPr>
          <w:sz w:val="22"/>
          <w:szCs w:val="22"/>
        </w:rPr>
        <w:t xml:space="preserve"> – MINUTA DO INSTRUMENTO DE CONTRATO</w:t>
      </w:r>
      <w:bookmarkEnd w:id="77"/>
      <w:r>
        <w:rPr>
          <w:rFonts w:hint="default"/>
          <w:sz w:val="22"/>
          <w:szCs w:val="22"/>
          <w:lang w:val="pt-BR"/>
        </w:rPr>
        <w:t xml:space="preserve"> Nº _____/2024</w:t>
      </w:r>
    </w:p>
    <w:p w14:paraId="4FB2C5D1">
      <w:pPr>
        <w:pStyle w:val="132"/>
        <w:spacing w:before="600" w:after="600" w:line="240" w:lineRule="auto"/>
        <w:ind w:left="4253" w:right="0"/>
        <w:rPr>
          <w:rFonts w:hint="default" w:ascii="Times New Roman" w:hAnsi="Times New Roman" w:cs="Times New Roman"/>
          <w:sz w:val="22"/>
          <w:szCs w:val="22"/>
        </w:rPr>
      </w:pPr>
      <w:r>
        <w:rPr>
          <w:rFonts w:hint="default" w:ascii="Times New Roman" w:hAnsi="Times New Roman" w:cs="Times New Roman"/>
          <w:bCs w:val="0"/>
          <w:sz w:val="22"/>
          <w:szCs w:val="22"/>
        </w:rPr>
        <w:t xml:space="preserve">MINUTA DO CONTRATO ADMINISTRATIVO Nº ________/2024, para </w:t>
      </w:r>
      <w:r>
        <w:rPr>
          <w:rStyle w:val="53"/>
          <w:rFonts w:hint="default" w:ascii="Times New Roman" w:hAnsi="Times New Roman" w:cs="Times New Roman"/>
          <w:b/>
          <w:bCs/>
          <w:color w:val="000000" w:themeColor="text1"/>
          <w:kern w:val="0"/>
          <w:sz w:val="22"/>
          <w:szCs w:val="22"/>
          <w:lang w:val="pt-BR"/>
          <w14:textFill>
            <w14:solidFill>
              <w14:schemeClr w14:val="tx1"/>
            </w14:solidFill>
          </w14:textFill>
        </w:rPr>
        <w:t>Registro de preços para futura e eventual contratação de empresa especializada no fornecimento e instalação de telhas, calhas, rufos e cumeeiras, incluindo mão de obra, para a Câmara Municipal de Primavera do Leste -  MT</w:t>
      </w:r>
      <w:r>
        <w:rPr>
          <w:rStyle w:val="49"/>
          <w:rFonts w:hint="default" w:ascii="Times New Roman" w:hAnsi="Times New Roman" w:eastAsia="Times New Roman" w:cs="Times New Roman"/>
          <w:b/>
          <w:bCs/>
          <w:sz w:val="22"/>
          <w:szCs w:val="22"/>
          <w:lang w:val="pt-BR" w:eastAsia="en-US"/>
        </w:rPr>
        <w:t>,</w:t>
      </w:r>
      <w:r>
        <w:rPr>
          <w:rFonts w:hint="default" w:ascii="Times New Roman" w:hAnsi="Times New Roman" w:cs="Times New Roman"/>
          <w:b/>
          <w:bCs/>
          <w:kern w:val="0"/>
          <w:sz w:val="22"/>
          <w:szCs w:val="22"/>
          <w:lang w:val="pt-BR" w:eastAsia="zh-CN" w:bidi="ar"/>
        </w:rPr>
        <w:t xml:space="preserve"> </w:t>
      </w:r>
      <w:r>
        <w:rPr>
          <w:rFonts w:hint="default" w:ascii="Times New Roman" w:hAnsi="Times New Roman" w:cs="Times New Roman"/>
          <w:color w:val="000000"/>
          <w:sz w:val="22"/>
          <w:szCs w:val="22"/>
        </w:rPr>
        <w:t>(</w:t>
      </w:r>
      <w:r>
        <w:rPr>
          <w:rFonts w:hint="default" w:ascii="Times New Roman" w:hAnsi="Times New Roman" w:cs="Times New Roman"/>
          <w:color w:val="000000"/>
          <w:sz w:val="22"/>
          <w:szCs w:val="22"/>
          <w:lang w:val="pt-BR"/>
        </w:rPr>
        <w:t>Processo Administrativo n° 46/2024</w:t>
      </w:r>
      <w:r>
        <w:rPr>
          <w:rFonts w:hint="default" w:ascii="Times New Roman" w:hAnsi="Times New Roman" w:cs="Times New Roman"/>
          <w:sz w:val="22"/>
          <w:szCs w:val="22"/>
        </w:rPr>
        <w:t>)</w:t>
      </w:r>
      <w:r>
        <w:rPr>
          <w:rFonts w:hint="default" w:ascii="Times New Roman" w:hAnsi="Times New Roman" w:cs="Times New Roman"/>
          <w:bCs w:val="0"/>
          <w:sz w:val="22"/>
          <w:szCs w:val="22"/>
        </w:rPr>
        <w:t>.</w:t>
      </w:r>
    </w:p>
    <w:p w14:paraId="037F48EF">
      <w:pPr>
        <w:spacing w:before="120" w:after="120"/>
        <w:ind w:firstLine="1134"/>
        <w:jc w:val="both"/>
        <w:rPr>
          <w:sz w:val="22"/>
          <w:szCs w:val="22"/>
        </w:rPr>
      </w:pPr>
      <w:r>
        <w:rPr>
          <w:rFonts w:ascii="Times New Roman" w:hAnsi="Times New Roman" w:eastAsia="Arial" w:cs="Times New Roman"/>
          <w:b/>
          <w:bCs/>
          <w:sz w:val="22"/>
          <w:szCs w:val="22"/>
          <w:shd w:val="clear" w:fill="auto"/>
          <w:lang w:eastAsia="pt-BR"/>
        </w:rPr>
        <w:t>O MUNICÍPIO DE PRIMAVERA DO LESTE - MT</w:t>
      </w:r>
      <w:r>
        <w:rPr>
          <w:rFonts w:ascii="Times New Roman" w:hAnsi="Times New Roman" w:eastAsia="Arial" w:cs="Times New Roman"/>
          <w:b w:val="0"/>
          <w:bCs w:val="0"/>
          <w:sz w:val="22"/>
          <w:szCs w:val="22"/>
          <w:shd w:val="clear" w:fill="auto"/>
          <w:lang w:eastAsia="pt-BR"/>
        </w:rPr>
        <w:t xml:space="preserve">, por intermédio da </w:t>
      </w:r>
      <w:r>
        <w:rPr>
          <w:rFonts w:ascii="Times New Roman" w:hAnsi="Times New Roman" w:eastAsia="Arial" w:cs="Times New Roman"/>
          <w:b/>
          <w:bCs/>
          <w:sz w:val="22"/>
          <w:szCs w:val="22"/>
          <w:shd w:val="clear" w:fill="auto"/>
          <w:lang w:eastAsia="pt-BR"/>
        </w:rPr>
        <w:t>CÂMARA MUNICIPAL</w:t>
      </w:r>
      <w:r>
        <w:rPr>
          <w:rFonts w:ascii="Times New Roman" w:hAnsi="Times New Roman" w:eastAsia="Arial" w:cs="Arial"/>
          <w:sz w:val="22"/>
          <w:szCs w:val="22"/>
          <w:shd w:val="clear" w:fill="auto"/>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cs="Arial" w:eastAsiaTheme="minorHAnsi"/>
          <w:sz w:val="22"/>
          <w:szCs w:val="22"/>
          <w:shd w:val="clear" w:fill="auto"/>
          <w:lang w:eastAsia="en-US"/>
        </w:rPr>
        <w:t>Valdecir Alventino da Silva</w:t>
      </w:r>
      <w:r>
        <w:rPr>
          <w:rFonts w:ascii="Times New Roman" w:hAnsi="Times New Roman" w:eastAsia="Arial" w:cs="Times New Roman"/>
          <w:sz w:val="22"/>
          <w:szCs w:val="22"/>
          <w:shd w:val="clear" w:fill="auto"/>
        </w:rPr>
        <w:t xml:space="preserve">,  </w:t>
      </w:r>
      <w:r>
        <w:rPr>
          <w:rFonts w:ascii="Times New Roman" w:hAnsi="Times New Roman" w:eastAsia="Arial" w:cs="Times New Roman"/>
          <w:sz w:val="22"/>
          <w:szCs w:val="22"/>
        </w:rPr>
        <w:t xml:space="preserve">doravante denominado </w:t>
      </w:r>
      <w:r>
        <w:rPr>
          <w:rFonts w:ascii="Times New Roman" w:hAnsi="Times New Roman" w:eastAsia="Arial" w:cs="Times New Roman"/>
          <w:b/>
          <w:bCs/>
          <w:sz w:val="22"/>
          <w:szCs w:val="22"/>
        </w:rPr>
        <w:t>CONTRATANTE</w:t>
      </w:r>
      <w:r>
        <w:rPr>
          <w:rFonts w:ascii="Times New Roman" w:hAnsi="Times New Roman" w:eastAsia="Arial" w:cs="Times New Roman"/>
          <w:sz w:val="22"/>
          <w:szCs w:val="22"/>
        </w:rPr>
        <w:t xml:space="preserve">, e a empresa </w:t>
      </w:r>
      <w:r>
        <w:rPr>
          <w:rFonts w:ascii="Times New Roman" w:hAnsi="Times New Roman" w:eastAsia="Arial" w:cs="Times New Roman"/>
          <w:b/>
          <w:bCs/>
          <w:sz w:val="22"/>
          <w:szCs w:val="22"/>
        </w:rPr>
        <w:t>____________________</w:t>
      </w:r>
      <w:r>
        <w:rPr>
          <w:rFonts w:ascii="Times New Roman" w:hAnsi="Times New Roman" w:eastAsia="Arial" w:cs="Times New Roman"/>
          <w:sz w:val="22"/>
          <w:szCs w:val="22"/>
        </w:rPr>
        <w:t xml:space="preserve">, inscrita no CNPJ sob o nº ____________________, sediado(a) na ______________________________ em ________________________ doravante designado </w:t>
      </w:r>
      <w:r>
        <w:rPr>
          <w:rFonts w:ascii="Times New Roman" w:hAnsi="Times New Roman" w:eastAsia="Arial" w:cs="Times New Roman"/>
          <w:b/>
          <w:bCs/>
          <w:sz w:val="22"/>
          <w:szCs w:val="22"/>
        </w:rPr>
        <w:t>CONTRATADA</w:t>
      </w:r>
      <w:r>
        <w:rPr>
          <w:rFonts w:ascii="Times New Roman" w:hAnsi="Times New Roman" w:eastAsia="Arial" w:cs="Times New Roman"/>
          <w:sz w:val="22"/>
          <w:szCs w:val="22"/>
        </w:rPr>
        <w:t>, neste ato representado(a) por XXXXXXXXXXX (nome e função no contratado), conforme atos constitutivos da empresa,</w:t>
      </w:r>
      <w:r>
        <w:rPr>
          <w:rFonts w:ascii="Times New Roman" w:hAnsi="Times New Roman" w:eastAsia="Arial" w:cs="Times New Roman"/>
          <w:i/>
          <w:iCs/>
          <w:color w:val="FF0000"/>
          <w:sz w:val="22"/>
          <w:szCs w:val="22"/>
        </w:rPr>
        <w:t xml:space="preserve"> </w:t>
      </w:r>
      <w:r>
        <w:rPr>
          <w:rFonts w:ascii="Times New Roman" w:hAnsi="Times New Roman" w:eastAsia="Arial" w:cs="Times New Roman"/>
          <w:sz w:val="22"/>
          <w:szCs w:val="22"/>
        </w:rPr>
        <w:t xml:space="preserve">tendo em vista o que consta no </w:t>
      </w:r>
      <w:r>
        <w:rPr>
          <w:rFonts w:eastAsia="Arial" w:cs="Times New Roman"/>
          <w:sz w:val="22"/>
          <w:szCs w:val="22"/>
          <w:lang w:val="pt-BR"/>
        </w:rPr>
        <w:t xml:space="preserve">Processo Administrativo nº </w:t>
      </w:r>
      <w:r>
        <w:rPr>
          <w:rFonts w:hint="default" w:eastAsia="Arial" w:cs="Times New Roman"/>
          <w:sz w:val="22"/>
          <w:szCs w:val="22"/>
          <w:lang w:val="pt-BR"/>
        </w:rPr>
        <w:t>46</w:t>
      </w:r>
      <w:r>
        <w:rPr>
          <w:rFonts w:eastAsia="Arial" w:cs="Times New Roman"/>
          <w:sz w:val="22"/>
          <w:szCs w:val="22"/>
          <w:lang w:val="pt-BR"/>
        </w:rPr>
        <w:t>/2024</w:t>
      </w:r>
      <w:r>
        <w:rPr>
          <w:rFonts w:hint="default" w:eastAsia="Arial" w:cs="Times New Roman"/>
          <w:sz w:val="22"/>
          <w:szCs w:val="22"/>
          <w:lang w:val="pt-BR"/>
        </w:rPr>
        <w:t xml:space="preserve"> </w:t>
      </w:r>
      <w:r>
        <w:rPr>
          <w:rFonts w:ascii="Times New Roman" w:hAnsi="Times New Roman" w:eastAsia="Arial" w:cs="Times New Roman"/>
          <w:sz w:val="22"/>
          <w:szCs w:val="22"/>
        </w:rPr>
        <w:t xml:space="preserve">e em observância às disposições da </w:t>
      </w:r>
      <w:r>
        <w:rPr>
          <w:sz w:val="22"/>
          <w:szCs w:val="22"/>
        </w:rPr>
        <w:fldChar w:fldCharType="begin"/>
      </w:r>
      <w:r>
        <w:rPr>
          <w:sz w:val="22"/>
          <w:szCs w:val="22"/>
        </w:rPr>
        <w:instrText xml:space="preserve"> HYPERLINK "http://www.planalto.gov.br/ccivil_03/_ato2019-2022/2021/lei/L14133.htm" \h </w:instrText>
      </w:r>
      <w:r>
        <w:rPr>
          <w:sz w:val="22"/>
          <w:szCs w:val="22"/>
        </w:rPr>
        <w:fldChar w:fldCharType="separate"/>
      </w:r>
      <w:r>
        <w:rPr>
          <w:rStyle w:val="62"/>
          <w:rFonts w:ascii="Times New Roman" w:hAnsi="Times New Roman" w:eastAsia="Arial"/>
          <w:sz w:val="22"/>
          <w:szCs w:val="22"/>
        </w:rPr>
        <w:t>Lei Federal nº 14.133, de 2021</w:t>
      </w:r>
      <w:r>
        <w:rPr>
          <w:rStyle w:val="62"/>
          <w:rFonts w:ascii="Times New Roman" w:hAnsi="Times New Roman" w:eastAsia="Arial"/>
          <w:sz w:val="22"/>
          <w:szCs w:val="22"/>
        </w:rPr>
        <w:fldChar w:fldCharType="end"/>
      </w:r>
      <w:r>
        <w:rPr>
          <w:rFonts w:ascii="Times New Roman" w:hAnsi="Times New Roman" w:eastAsia="Arial" w:cs="Times New Roman"/>
          <w:sz w:val="22"/>
          <w:szCs w:val="22"/>
        </w:rPr>
        <w:t xml:space="preserve">, e demais legislação aplicável, resolvem celebrar o presente Termo de Contrato, decorrente do </w:t>
      </w:r>
      <w:r>
        <w:rPr>
          <w:rFonts w:ascii="Times New Roman" w:hAnsi="Times New Roman" w:eastAsia="Arial" w:cs="Times New Roman"/>
          <w:sz w:val="22"/>
          <w:szCs w:val="22"/>
          <w:lang w:val="pt-BR"/>
        </w:rPr>
        <w:t xml:space="preserve"> </w:t>
      </w:r>
      <w:r>
        <w:rPr>
          <w:rFonts w:eastAsia="Arial" w:cs="Times New Roman"/>
          <w:sz w:val="22"/>
          <w:szCs w:val="22"/>
          <w:lang w:val="pt-BR"/>
        </w:rPr>
        <w:t>Pregão Eletrônico nº 17/2024</w:t>
      </w:r>
      <w:r>
        <w:rPr>
          <w:rFonts w:ascii="Times New Roman" w:hAnsi="Times New Roman" w:eastAsia="Arial" w:cs="Times New Roman"/>
          <w:sz w:val="22"/>
          <w:szCs w:val="22"/>
          <w:shd w:val="clear" w:fill="auto"/>
        </w:rPr>
        <w:t>,</w:t>
      </w:r>
      <w:r>
        <w:rPr>
          <w:rFonts w:ascii="Times New Roman" w:hAnsi="Times New Roman" w:eastAsia="Arial" w:cs="Times New Roman"/>
          <w:sz w:val="22"/>
          <w:szCs w:val="22"/>
        </w:rPr>
        <w:t xml:space="preserve"> mediante as cláusulas e condições a seguir enunciadas.</w:t>
      </w:r>
    </w:p>
    <w:p w14:paraId="5355FB3B">
      <w:pPr>
        <w:pStyle w:val="32"/>
        <w:numPr>
          <w:ilvl w:val="0"/>
          <w:numId w:val="14"/>
        </w:numPr>
        <w:pBdr>
          <w:bottom w:val="single" w:color="000000" w:themeColor="dark1" w:sz="4" w:space="1"/>
        </w:pBdr>
        <w:shd w:val="clear" w:color="auto" w:fill="BEBEBE" w:themeFill="background1" w:themeFillShade="BF"/>
        <w:spacing w:before="360" w:beforeAutospacing="0" w:after="0" w:afterAutospacing="0"/>
        <w:jc w:val="both"/>
        <w:rPr>
          <w:sz w:val="22"/>
          <w:szCs w:val="22"/>
        </w:rPr>
      </w:pPr>
      <w:r>
        <w:rPr>
          <w:rStyle w:val="16"/>
          <w:color w:val="000000"/>
          <w:sz w:val="22"/>
          <w:szCs w:val="22"/>
        </w:rPr>
        <w:t>OBJETO</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I e II</w:t>
      </w:r>
      <w:r>
        <w:rPr>
          <w:rStyle w:val="62"/>
          <w:sz w:val="22"/>
          <w:szCs w:val="22"/>
        </w:rPr>
        <w:fldChar w:fldCharType="end"/>
      </w:r>
      <w:r>
        <w:rPr>
          <w:rStyle w:val="62"/>
          <w:sz w:val="22"/>
          <w:szCs w:val="22"/>
        </w:rPr>
        <w:t>, da Lei Federal nº 14.133, de 2021</w:t>
      </w:r>
      <w:r>
        <w:rPr>
          <w:sz w:val="22"/>
          <w:szCs w:val="22"/>
        </w:rPr>
        <w:t>)</w:t>
      </w:r>
    </w:p>
    <w:p w14:paraId="7FA07A93">
      <w:pPr>
        <w:pStyle w:val="32"/>
        <w:numPr>
          <w:ilvl w:val="1"/>
          <w:numId w:val="14"/>
        </w:numPr>
        <w:tabs>
          <w:tab w:val="left" w:pos="993"/>
        </w:tabs>
        <w:spacing w:before="0" w:beforeAutospacing="0" w:after="120" w:afterAutospacing="0"/>
        <w:ind w:left="0" w:firstLine="567"/>
        <w:jc w:val="both"/>
        <w:rPr>
          <w:rFonts w:ascii="Times New Roman" w:hAnsi="Times New Roman"/>
          <w:sz w:val="22"/>
          <w:szCs w:val="22"/>
        </w:rPr>
      </w:pPr>
      <w:r>
        <w:rPr>
          <w:sz w:val="22"/>
          <w:szCs w:val="22"/>
        </w:rPr>
        <w:t xml:space="preserve">O objeto do presente instrumento é </w:t>
      </w:r>
      <w:r>
        <w:rPr>
          <w:rFonts w:hint="default"/>
          <w:sz w:val="22"/>
          <w:szCs w:val="22"/>
          <w:lang w:val="pt-BR"/>
        </w:rPr>
        <w:t xml:space="preserve">o </w:t>
      </w:r>
      <w:r>
        <w:rPr>
          <w:rStyle w:val="53"/>
          <w:rFonts w:hint="default"/>
          <w:b/>
          <w:bCs/>
          <w:color w:val="000000" w:themeColor="text1"/>
          <w:kern w:val="0"/>
          <w:sz w:val="22"/>
          <w:szCs w:val="22"/>
          <w:lang w:val="pt-BR"/>
          <w14:textFill>
            <w14:solidFill>
              <w14:schemeClr w14:val="tx1"/>
            </w14:solidFill>
          </w14:textFill>
        </w:rPr>
        <w:t>Registro de preços para futura e eventual contratação de empresa especializada no fornecimento e instalação de telhas, calhas, rufos e cumeeiras, incluindo mão de obra, para a Câmara Municipal de Primavera do Leste -  MT</w:t>
      </w:r>
      <w:r>
        <w:rPr>
          <w:b/>
          <w:bCs/>
          <w:color w:val="000000"/>
          <w:kern w:val="0"/>
          <w:sz w:val="22"/>
          <w:szCs w:val="22"/>
          <w:shd w:val="clear" w:fill="auto"/>
          <w:lang w:val="pt-BR" w:bidi="ar-SA"/>
        </w:rPr>
        <w:t>,</w:t>
      </w:r>
      <w:r>
        <w:rPr>
          <w:sz w:val="22"/>
          <w:szCs w:val="22"/>
        </w:rPr>
        <w:t xml:space="preserve"> conforme quadro a seguir:</w:t>
      </w:r>
    </w:p>
    <w:tbl>
      <w:tblPr>
        <w:tblStyle w:val="14"/>
        <w:tblW w:w="8921" w:type="dxa"/>
        <w:tblInd w:w="0" w:type="dxa"/>
        <w:tblLayout w:type="fixed"/>
        <w:tblCellMar>
          <w:top w:w="0" w:type="dxa"/>
          <w:left w:w="28" w:type="dxa"/>
          <w:bottom w:w="0" w:type="dxa"/>
          <w:right w:w="28" w:type="dxa"/>
        </w:tblCellMar>
      </w:tblPr>
      <w:tblGrid>
        <w:gridCol w:w="716"/>
        <w:gridCol w:w="1706"/>
        <w:gridCol w:w="1091"/>
        <w:gridCol w:w="1321"/>
        <w:gridCol w:w="1399"/>
        <w:gridCol w:w="1133"/>
        <w:gridCol w:w="1554"/>
      </w:tblGrid>
      <w:tr w14:paraId="2D39C687">
        <w:tblPrEx>
          <w:tblCellMar>
            <w:top w:w="0" w:type="dxa"/>
            <w:left w:w="28" w:type="dxa"/>
            <w:bottom w:w="0" w:type="dxa"/>
            <w:right w:w="28" w:type="dxa"/>
          </w:tblCellMar>
        </w:tblPrEx>
        <w:trPr>
          <w:tblHeader/>
        </w:trPr>
        <w:tc>
          <w:tcPr>
            <w:tcW w:w="716" w:type="dxa"/>
            <w:tcBorders>
              <w:top w:val="single" w:color="000000" w:sz="4" w:space="0"/>
              <w:left w:val="single" w:color="000000" w:sz="4" w:space="0"/>
              <w:bottom w:val="single" w:color="000000" w:sz="6" w:space="0"/>
              <w:right w:val="single" w:color="000000" w:sz="6" w:space="0"/>
            </w:tcBorders>
            <w:shd w:val="clear" w:color="auto" w:fill="BEBEBE" w:themeFill="background1" w:themeFillShade="BF"/>
            <w:vAlign w:val="center"/>
          </w:tcPr>
          <w:p w14:paraId="09790305">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Item</w:t>
            </w:r>
          </w:p>
        </w:tc>
        <w:tc>
          <w:tcPr>
            <w:tcW w:w="1706"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3603AED0">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Especificação</w:t>
            </w:r>
          </w:p>
        </w:tc>
        <w:tc>
          <w:tcPr>
            <w:tcW w:w="109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68237C9C">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Catálogo</w:t>
            </w:r>
          </w:p>
        </w:tc>
        <w:tc>
          <w:tcPr>
            <w:tcW w:w="132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130765F1">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Unidade de Medida</w:t>
            </w:r>
          </w:p>
        </w:tc>
        <w:tc>
          <w:tcPr>
            <w:tcW w:w="1399"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26D2C323">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Quantidade Estimada</w:t>
            </w:r>
          </w:p>
        </w:tc>
        <w:tc>
          <w:tcPr>
            <w:tcW w:w="1133"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7F7364FB">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Valor Unitário</w:t>
            </w:r>
          </w:p>
        </w:tc>
        <w:tc>
          <w:tcPr>
            <w:tcW w:w="1554" w:type="dxa"/>
            <w:tcBorders>
              <w:top w:val="single" w:color="000000" w:sz="4" w:space="0"/>
              <w:left w:val="single" w:color="000000" w:sz="6" w:space="0"/>
              <w:bottom w:val="single" w:color="000000" w:sz="6" w:space="0"/>
              <w:right w:val="single" w:color="000000" w:sz="4" w:space="0"/>
            </w:tcBorders>
            <w:shd w:val="clear" w:color="auto" w:fill="BEBEBE" w:themeFill="background1" w:themeFillShade="BF"/>
            <w:vAlign w:val="center"/>
          </w:tcPr>
          <w:p w14:paraId="3481223D">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Valor Total</w:t>
            </w:r>
          </w:p>
        </w:tc>
      </w:tr>
      <w:tr w14:paraId="7BA8C204">
        <w:tblPrEx>
          <w:tblCellMar>
            <w:top w:w="0" w:type="dxa"/>
            <w:left w:w="28" w:type="dxa"/>
            <w:bottom w:w="0" w:type="dxa"/>
            <w:right w:w="28" w:type="dxa"/>
          </w:tblCellMar>
        </w:tblPrEx>
        <w:tc>
          <w:tcPr>
            <w:tcW w:w="716" w:type="dxa"/>
            <w:tcBorders>
              <w:top w:val="single" w:color="000000" w:sz="6" w:space="0"/>
              <w:left w:val="single" w:color="000000" w:sz="4" w:space="0"/>
              <w:bottom w:val="single" w:color="000000" w:sz="4" w:space="0"/>
              <w:right w:val="single" w:color="000000" w:sz="6" w:space="0"/>
            </w:tcBorders>
            <w:vAlign w:val="center"/>
          </w:tcPr>
          <w:p w14:paraId="6F5A7A3D">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Único</w:t>
            </w:r>
          </w:p>
        </w:tc>
        <w:tc>
          <w:tcPr>
            <w:tcW w:w="1706" w:type="dxa"/>
            <w:tcBorders>
              <w:top w:val="single" w:color="000000" w:sz="6" w:space="0"/>
              <w:left w:val="single" w:color="000000" w:sz="6" w:space="0"/>
              <w:bottom w:val="single" w:color="000000" w:sz="4" w:space="0"/>
              <w:right w:val="single" w:color="000000" w:sz="6" w:space="0"/>
            </w:tcBorders>
            <w:vAlign w:val="center"/>
          </w:tcPr>
          <w:p w14:paraId="3DB3776D">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1091" w:type="dxa"/>
            <w:tcBorders>
              <w:top w:val="single" w:color="000000" w:sz="6" w:space="0"/>
              <w:left w:val="single" w:color="000000" w:sz="6" w:space="0"/>
              <w:bottom w:val="single" w:color="000000" w:sz="4" w:space="0"/>
              <w:right w:val="single" w:color="000000" w:sz="6" w:space="0"/>
            </w:tcBorders>
            <w:vAlign w:val="center"/>
          </w:tcPr>
          <w:p w14:paraId="03866F4E">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21" w:type="dxa"/>
            <w:tcBorders>
              <w:top w:val="single" w:color="000000" w:sz="6" w:space="0"/>
              <w:left w:val="single" w:color="000000" w:sz="6" w:space="0"/>
              <w:bottom w:val="single" w:color="000000" w:sz="4" w:space="0"/>
              <w:right w:val="single" w:color="000000" w:sz="6" w:space="0"/>
            </w:tcBorders>
            <w:vAlign w:val="center"/>
          </w:tcPr>
          <w:p w14:paraId="1B91DCC2">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99" w:type="dxa"/>
            <w:tcBorders>
              <w:top w:val="single" w:color="000000" w:sz="6" w:space="0"/>
              <w:left w:val="single" w:color="000000" w:sz="6" w:space="0"/>
              <w:bottom w:val="single" w:color="000000" w:sz="4" w:space="0"/>
              <w:right w:val="single" w:color="000000" w:sz="6" w:space="0"/>
            </w:tcBorders>
            <w:vAlign w:val="center"/>
          </w:tcPr>
          <w:p w14:paraId="53207D49">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133" w:type="dxa"/>
            <w:tcBorders>
              <w:top w:val="single" w:color="000000" w:sz="6" w:space="0"/>
              <w:left w:val="single" w:color="000000" w:sz="6" w:space="0"/>
              <w:bottom w:val="single" w:color="000000" w:sz="4" w:space="0"/>
              <w:right w:val="single" w:color="000000" w:sz="6" w:space="0"/>
            </w:tcBorders>
            <w:vAlign w:val="center"/>
          </w:tcPr>
          <w:p w14:paraId="76C4FA5B">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 xxxxx</w:t>
            </w:r>
          </w:p>
        </w:tc>
        <w:tc>
          <w:tcPr>
            <w:tcW w:w="1554" w:type="dxa"/>
            <w:tcBorders>
              <w:top w:val="single" w:color="000000" w:sz="6" w:space="0"/>
              <w:left w:val="single" w:color="000000" w:sz="6" w:space="0"/>
              <w:bottom w:val="single" w:color="000000" w:sz="4" w:space="0"/>
              <w:right w:val="single" w:color="000000" w:sz="4" w:space="0"/>
            </w:tcBorders>
            <w:vAlign w:val="center"/>
          </w:tcPr>
          <w:p w14:paraId="3EB1116F">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R$xxxxxxx</w:t>
            </w:r>
          </w:p>
        </w:tc>
      </w:tr>
    </w:tbl>
    <w:p w14:paraId="138FD97B">
      <w:pPr>
        <w:pStyle w:val="32"/>
        <w:numPr>
          <w:ilvl w:val="1"/>
          <w:numId w:val="14"/>
        </w:numPr>
        <w:tabs>
          <w:tab w:val="left" w:pos="993"/>
        </w:tabs>
        <w:spacing w:before="120" w:beforeAutospacing="0" w:after="0" w:afterAutospacing="0"/>
        <w:ind w:left="0" w:firstLine="567"/>
        <w:jc w:val="both"/>
        <w:rPr>
          <w:rFonts w:ascii="Times New Roman" w:hAnsi="Times New Roman"/>
          <w:sz w:val="22"/>
          <w:szCs w:val="22"/>
        </w:rPr>
      </w:pPr>
      <w:r>
        <w:rPr>
          <w:sz w:val="22"/>
          <w:szCs w:val="22"/>
        </w:rPr>
        <w:t>Como a presente contratação é decorrente de Ata de Registro de Preços, poderá haver a emissão de novos empenhos adicionais, dentro da vigência da referida ARP, que serão registrados por intermédio de apostilamento e farão parte integrante do presente contrato.</w:t>
      </w:r>
    </w:p>
    <w:p w14:paraId="002B4C3C">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Fazem parte integrante do presente Termo de Contrato e a ele se vinculam, independentemente de transcrição:</w:t>
      </w:r>
    </w:p>
    <w:p w14:paraId="6312FC7B">
      <w:pPr>
        <w:pStyle w:val="32"/>
        <w:numPr>
          <w:ilvl w:val="0"/>
          <w:numId w:val="0"/>
        </w:numPr>
        <w:tabs>
          <w:tab w:val="left" w:pos="993"/>
        </w:tabs>
        <w:spacing w:before="0" w:beforeAutospacing="0" w:after="0" w:afterAutospacing="0"/>
        <w:ind w:left="0" w:firstLine="0"/>
        <w:jc w:val="both"/>
        <w:rPr>
          <w:rFonts w:ascii="Times New Roman" w:hAnsi="Times New Roman"/>
          <w:sz w:val="22"/>
          <w:szCs w:val="22"/>
        </w:rPr>
      </w:pPr>
    </w:p>
    <w:p w14:paraId="428B21A6">
      <w:pPr>
        <w:pStyle w:val="32"/>
        <w:numPr>
          <w:ilvl w:val="2"/>
          <w:numId w:val="14"/>
        </w:numPr>
        <w:tabs>
          <w:tab w:val="left" w:pos="993"/>
        </w:tabs>
        <w:spacing w:before="0" w:beforeAutospacing="0" w:after="0" w:afterAutospacing="0"/>
        <w:ind w:left="1077" w:hanging="357"/>
        <w:jc w:val="both"/>
        <w:rPr>
          <w:sz w:val="22"/>
          <w:szCs w:val="22"/>
        </w:rPr>
      </w:pPr>
      <w:r>
        <w:rPr>
          <w:sz w:val="22"/>
          <w:szCs w:val="22"/>
        </w:rPr>
        <w:t xml:space="preserve">O </w:t>
      </w:r>
      <w:r>
        <w:rPr>
          <w:rStyle w:val="53"/>
          <w:color w:val="000000"/>
          <w:sz w:val="22"/>
          <w:szCs w:val="22"/>
        </w:rPr>
        <w:t>Termo de Referência</w:t>
      </w:r>
      <w:r>
        <w:rPr>
          <w:sz w:val="22"/>
          <w:szCs w:val="22"/>
        </w:rPr>
        <w:t>;</w:t>
      </w:r>
    </w:p>
    <w:p w14:paraId="0B87C178">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O </w:t>
      </w:r>
      <w:r>
        <w:rPr>
          <w:sz w:val="22"/>
          <w:szCs w:val="22"/>
          <w:lang w:val="pt-BR"/>
        </w:rPr>
        <w:t>Edital do  Pregão Eletrônico</w:t>
      </w:r>
      <w:r>
        <w:rPr>
          <w:rFonts w:hint="default"/>
          <w:sz w:val="22"/>
          <w:szCs w:val="22"/>
          <w:lang w:val="pt-BR"/>
        </w:rPr>
        <w:t xml:space="preserve"> </w:t>
      </w:r>
      <w:r>
        <w:rPr>
          <w:sz w:val="22"/>
          <w:szCs w:val="22"/>
          <w:lang w:val="pt-BR"/>
        </w:rPr>
        <w:t xml:space="preserve">nº </w:t>
      </w:r>
      <w:r>
        <w:rPr>
          <w:rFonts w:hint="default"/>
          <w:sz w:val="22"/>
          <w:szCs w:val="22"/>
          <w:lang w:val="pt-BR"/>
        </w:rPr>
        <w:t>17</w:t>
      </w:r>
      <w:r>
        <w:rPr>
          <w:sz w:val="22"/>
          <w:szCs w:val="22"/>
          <w:lang w:val="pt-BR"/>
        </w:rPr>
        <w:t>/2024</w:t>
      </w:r>
      <w:r>
        <w:rPr>
          <w:rFonts w:eastAsiaTheme="minorHAnsi" w:cstheme="minorBidi"/>
          <w:color w:val="000000"/>
          <w:sz w:val="22"/>
          <w:szCs w:val="22"/>
          <w:shd w:val="clear" w:fill="auto"/>
        </w:rPr>
        <w:t>;</w:t>
      </w:r>
    </w:p>
    <w:p w14:paraId="5E257C2D">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A Proposta da Contratada;</w:t>
      </w:r>
    </w:p>
    <w:p w14:paraId="4FF0D4B7">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As Notas de Empenho emitidas a partir da ARP nº </w:t>
      </w:r>
      <w:r>
        <w:rPr>
          <w:rFonts w:hint="default"/>
          <w:sz w:val="22"/>
          <w:szCs w:val="22"/>
          <w:lang w:val="pt-BR"/>
        </w:rPr>
        <w:t>xxxx</w:t>
      </w:r>
      <w:r>
        <w:rPr>
          <w:rFonts w:eastAsiaTheme="minorHAnsi" w:cstheme="minorBidi"/>
          <w:sz w:val="22"/>
          <w:szCs w:val="22"/>
          <w:shd w:val="clear" w:fill="auto"/>
        </w:rPr>
        <w:t>/2024;</w:t>
      </w:r>
    </w:p>
    <w:p w14:paraId="66DE840E">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Eventuais anexos dos documentos supracitados.</w:t>
      </w:r>
    </w:p>
    <w:p w14:paraId="4D3F8089">
      <w:pPr>
        <w:pStyle w:val="32"/>
        <w:numPr>
          <w:ilvl w:val="0"/>
          <w:numId w:val="0"/>
        </w:numPr>
        <w:tabs>
          <w:tab w:val="left" w:pos="993"/>
        </w:tabs>
        <w:spacing w:before="0" w:beforeAutospacing="0" w:after="0" w:afterAutospacing="0"/>
        <w:ind w:left="1080" w:firstLine="0"/>
        <w:jc w:val="both"/>
        <w:rPr>
          <w:rFonts w:ascii="Times New Roman" w:hAnsi="Times New Roman"/>
          <w:sz w:val="22"/>
          <w:szCs w:val="22"/>
        </w:rPr>
      </w:pPr>
    </w:p>
    <w:p w14:paraId="6E9D02AF">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VIGÊNCIA E PRORROGAÇÃO</w:t>
      </w:r>
    </w:p>
    <w:p w14:paraId="4CAD7B4E">
      <w:pPr>
        <w:pStyle w:val="32"/>
        <w:numPr>
          <w:ilvl w:val="1"/>
          <w:numId w:val="14"/>
        </w:numPr>
        <w:tabs>
          <w:tab w:val="left" w:pos="993"/>
        </w:tabs>
        <w:spacing w:before="0" w:beforeAutospacing="0" w:after="0" w:afterAutospacing="0"/>
        <w:ind w:left="0" w:firstLine="567"/>
        <w:jc w:val="both"/>
        <w:rPr>
          <w:sz w:val="22"/>
          <w:szCs w:val="22"/>
        </w:rPr>
      </w:pPr>
      <w:r>
        <w:rPr>
          <w:sz w:val="22"/>
          <w:szCs w:val="22"/>
        </w:rPr>
        <w:t>O prazo de vigência da contratação é de 1 (um) ano contado da contratação, sendo automaticamente prorrogado, independentemente de termo aditivo, quando o objeto não for concluído no período firmado acima (</w:t>
      </w:r>
      <w:r>
        <w:rPr>
          <w:sz w:val="22"/>
          <w:szCs w:val="22"/>
        </w:rPr>
        <w:fldChar w:fldCharType="begin"/>
      </w:r>
      <w:r>
        <w:rPr>
          <w:rStyle w:val="62"/>
          <w:sz w:val="22"/>
          <w:szCs w:val="22"/>
        </w:rPr>
        <w:instrText xml:space="preserve"> HYPERLINK "http://www.planalto.gov.br/ccivil_03/_ato2019-2022/2021/lei/L14133.htm" \l "art111"</w:instrText>
      </w:r>
      <w:r>
        <w:rPr>
          <w:rStyle w:val="62"/>
          <w:sz w:val="22"/>
          <w:szCs w:val="22"/>
        </w:rPr>
        <w:fldChar w:fldCharType="separate"/>
      </w:r>
      <w:r>
        <w:rPr>
          <w:rStyle w:val="62"/>
          <w:sz w:val="22"/>
          <w:szCs w:val="22"/>
        </w:rPr>
        <w:t>art. 111 da Lei Federal nº 14.133, de 2021</w:t>
      </w:r>
      <w:r>
        <w:rPr>
          <w:rStyle w:val="62"/>
          <w:sz w:val="22"/>
          <w:szCs w:val="22"/>
        </w:rPr>
        <w:fldChar w:fldCharType="end"/>
      </w:r>
      <w:r>
        <w:rPr>
          <w:sz w:val="22"/>
          <w:szCs w:val="22"/>
        </w:rPr>
        <w:t>), ressalvadas as providências cabíveis no caso de culpa da Contratada, previstas neste instrumento.</w:t>
      </w:r>
    </w:p>
    <w:p w14:paraId="09377A13">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não tem direito subjetivo à prorrogação contratual.</w:t>
      </w:r>
    </w:p>
    <w:p w14:paraId="665C80D6">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prorrogação de contrato, sempre que possível, deverá ser promovida mediante celebração de termo aditivo. </w:t>
      </w:r>
    </w:p>
    <w:p w14:paraId="33AC0EEC">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Nas eventuais prorrogações contratuais, os custos não renováveis já pagos ou amortizados ao longo do primeiro período de vigência da contratação deverão ser reduzidos ou eliminados como condição para a renovação.</w:t>
      </w:r>
    </w:p>
    <w:p w14:paraId="469C5203">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não poderá ser prorrogado quando a Contratada tiver sido penalizada nas sanções de declaração de inidoneidade ou impedimento de licitar e contratar com poder público, observadas as abrangências de aplicação.</w:t>
      </w:r>
    </w:p>
    <w:p w14:paraId="2646E7AC">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1851190B">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bookmarkStart w:id="78" w:name="_Hlk114497577"/>
      <w:bookmarkEnd w:id="78"/>
      <w:bookmarkStart w:id="79" w:name="_Hlk114497502"/>
      <w:bookmarkEnd w:id="79"/>
      <w:r>
        <w:rPr>
          <w:rStyle w:val="16"/>
          <w:color w:val="000000"/>
          <w:sz w:val="22"/>
          <w:szCs w:val="22"/>
        </w:rPr>
        <w:t>LEGISLAÇÃO APLICÁVEL</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III, da Lei Federal nº 14.133, de 2021)</w:t>
      </w:r>
      <w:r>
        <w:rPr>
          <w:rStyle w:val="62"/>
          <w:sz w:val="22"/>
          <w:szCs w:val="22"/>
        </w:rPr>
        <w:fldChar w:fldCharType="end"/>
      </w:r>
    </w:p>
    <w:p w14:paraId="5783F689">
      <w:pPr>
        <w:pStyle w:val="32"/>
        <w:numPr>
          <w:ilvl w:val="1"/>
          <w:numId w:val="14"/>
        </w:numPr>
        <w:tabs>
          <w:tab w:val="left" w:pos="993"/>
        </w:tabs>
        <w:spacing w:before="0" w:beforeAutospacing="0" w:after="0" w:afterAutospacing="0"/>
        <w:ind w:left="0" w:firstLine="567"/>
        <w:jc w:val="both"/>
        <w:rPr>
          <w:sz w:val="22"/>
          <w:szCs w:val="22"/>
        </w:rPr>
      </w:pPr>
      <w:r>
        <w:rPr>
          <w:sz w:val="22"/>
          <w:szCs w:val="22"/>
        </w:rPr>
        <w:t xml:space="preserve">O presente Termo de Contrato se vincula à </w:t>
      </w:r>
      <w:r>
        <w:rPr>
          <w:sz w:val="22"/>
          <w:szCs w:val="22"/>
        </w:rPr>
        <w:fldChar w:fldCharType="begin"/>
      </w:r>
      <w:r>
        <w:rPr>
          <w:sz w:val="22"/>
          <w:szCs w:val="22"/>
        </w:rPr>
        <w:instrText xml:space="preserve"> HYPERLINK "http://www.planalto.gov.br/ccivil_03/_ato2019-2022/2021/lei/L14133.htm" \h </w:instrText>
      </w:r>
      <w:r>
        <w:rPr>
          <w:sz w:val="22"/>
          <w:szCs w:val="22"/>
        </w:rPr>
        <w:fldChar w:fldCharType="separate"/>
      </w:r>
      <w:r>
        <w:rPr>
          <w:rStyle w:val="62"/>
          <w:sz w:val="22"/>
          <w:szCs w:val="22"/>
        </w:rPr>
        <w:t>Lei Federal nº 14.133, de 2021</w:t>
      </w:r>
      <w:r>
        <w:rPr>
          <w:rStyle w:val="62"/>
          <w:sz w:val="22"/>
          <w:szCs w:val="22"/>
        </w:rPr>
        <w:fldChar w:fldCharType="end"/>
      </w:r>
      <w:r>
        <w:rPr>
          <w:sz w:val="22"/>
          <w:szCs w:val="22"/>
        </w:rPr>
        <w:t>, e, subsidiariamente, às seguintes leis:</w:t>
      </w:r>
    </w:p>
    <w:p w14:paraId="3267DFEF">
      <w:pPr>
        <w:pStyle w:val="32"/>
        <w:numPr>
          <w:ilvl w:val="2"/>
          <w:numId w:val="14"/>
        </w:numPr>
        <w:tabs>
          <w:tab w:val="left" w:pos="993"/>
        </w:tabs>
        <w:spacing w:before="0" w:beforeAutospacing="0" w:after="0" w:afterAutospacing="0"/>
        <w:jc w:val="both"/>
        <w:rPr>
          <w:sz w:val="22"/>
          <w:szCs w:val="22"/>
        </w:rPr>
      </w:pPr>
      <w:r>
        <w:rPr>
          <w:sz w:val="22"/>
          <w:szCs w:val="22"/>
        </w:rPr>
        <w:fldChar w:fldCharType="begin"/>
      </w:r>
      <w:r>
        <w:rPr>
          <w:sz w:val="22"/>
          <w:szCs w:val="22"/>
        </w:rPr>
        <w:instrText xml:space="preserve"> HYPERLINK "https://www.planalto.gov.br/ccivil_03/leis/lcp/lcp123.htm" \h </w:instrText>
      </w:r>
      <w:r>
        <w:rPr>
          <w:sz w:val="22"/>
          <w:szCs w:val="22"/>
        </w:rPr>
        <w:fldChar w:fldCharType="separate"/>
      </w:r>
      <w:r>
        <w:rPr>
          <w:rStyle w:val="62"/>
          <w:sz w:val="22"/>
          <w:szCs w:val="22"/>
        </w:rPr>
        <w:t>Lei Complementar Federal nº 123, de 2006</w:t>
      </w:r>
      <w:r>
        <w:rPr>
          <w:rStyle w:val="62"/>
          <w:sz w:val="22"/>
          <w:szCs w:val="22"/>
        </w:rPr>
        <w:fldChar w:fldCharType="end"/>
      </w:r>
      <w:r>
        <w:rPr>
          <w:sz w:val="22"/>
          <w:szCs w:val="22"/>
        </w:rPr>
        <w:t xml:space="preserve"> (Estatuto Nacional da Microempresa e Pequena Empresa);</w:t>
      </w:r>
    </w:p>
    <w:p w14:paraId="643C040F">
      <w:pPr>
        <w:pStyle w:val="32"/>
        <w:numPr>
          <w:ilvl w:val="2"/>
          <w:numId w:val="14"/>
        </w:numPr>
        <w:tabs>
          <w:tab w:val="left" w:pos="993"/>
        </w:tabs>
        <w:spacing w:before="0" w:beforeAutospacing="0" w:after="0" w:afterAutospacing="0"/>
        <w:jc w:val="both"/>
        <w:rPr>
          <w:sz w:val="22"/>
          <w:szCs w:val="22"/>
        </w:rPr>
      </w:pPr>
      <w:r>
        <w:rPr>
          <w:sz w:val="22"/>
          <w:szCs w:val="22"/>
        </w:rPr>
        <w:fldChar w:fldCharType="begin"/>
      </w:r>
      <w:r>
        <w:rPr>
          <w:sz w:val="22"/>
          <w:szCs w:val="22"/>
        </w:rPr>
        <w:instrText xml:space="preserve"> HYPERLINK "https://www.planalto.gov.br/ccivil_03/leis/2002/l10406compilada.htm" \h </w:instrText>
      </w:r>
      <w:r>
        <w:rPr>
          <w:sz w:val="22"/>
          <w:szCs w:val="22"/>
        </w:rPr>
        <w:fldChar w:fldCharType="separate"/>
      </w:r>
      <w:r>
        <w:rPr>
          <w:rStyle w:val="62"/>
          <w:sz w:val="22"/>
          <w:szCs w:val="22"/>
        </w:rPr>
        <w:t>Lei Federal nº 10.406, de 2002</w:t>
      </w:r>
      <w:r>
        <w:rPr>
          <w:rStyle w:val="62"/>
          <w:sz w:val="22"/>
          <w:szCs w:val="22"/>
        </w:rPr>
        <w:fldChar w:fldCharType="end"/>
      </w:r>
      <w:r>
        <w:rPr>
          <w:sz w:val="22"/>
          <w:szCs w:val="22"/>
        </w:rPr>
        <w:t xml:space="preserve"> (Código Civil);</w:t>
      </w:r>
    </w:p>
    <w:p w14:paraId="2A04ACA4">
      <w:pPr>
        <w:pStyle w:val="32"/>
        <w:numPr>
          <w:ilvl w:val="2"/>
          <w:numId w:val="14"/>
        </w:numPr>
        <w:tabs>
          <w:tab w:val="left" w:pos="993"/>
        </w:tabs>
        <w:spacing w:before="0" w:beforeAutospacing="0" w:after="0" w:afterAutospacing="0"/>
        <w:jc w:val="both"/>
        <w:rPr>
          <w:sz w:val="22"/>
          <w:szCs w:val="22"/>
        </w:rPr>
      </w:pPr>
      <w:r>
        <w:rPr>
          <w:sz w:val="22"/>
          <w:szCs w:val="22"/>
        </w:rPr>
        <w:fldChar w:fldCharType="begin"/>
      </w:r>
      <w:r>
        <w:rPr>
          <w:sz w:val="22"/>
          <w:szCs w:val="22"/>
        </w:rPr>
        <w:instrText xml:space="preserve"> HYPERLINK "https://www.planalto.gov.br/ccivil_03/leis/l8078compilado.htm" \h </w:instrText>
      </w:r>
      <w:r>
        <w:rPr>
          <w:sz w:val="22"/>
          <w:szCs w:val="22"/>
        </w:rPr>
        <w:fldChar w:fldCharType="separate"/>
      </w:r>
      <w:r>
        <w:rPr>
          <w:rStyle w:val="62"/>
          <w:sz w:val="22"/>
          <w:szCs w:val="22"/>
        </w:rPr>
        <w:t>Lei Federal nº 8.078, de 1990</w:t>
      </w:r>
      <w:r>
        <w:rPr>
          <w:rStyle w:val="62"/>
          <w:sz w:val="22"/>
          <w:szCs w:val="22"/>
        </w:rPr>
        <w:fldChar w:fldCharType="end"/>
      </w:r>
      <w:r>
        <w:rPr>
          <w:sz w:val="22"/>
          <w:szCs w:val="22"/>
        </w:rPr>
        <w:t xml:space="preserve"> (Código de Defesa do Consumidor);</w:t>
      </w:r>
    </w:p>
    <w:p w14:paraId="7A67C57A">
      <w:pPr>
        <w:pStyle w:val="32"/>
        <w:numPr>
          <w:ilvl w:val="2"/>
          <w:numId w:val="14"/>
        </w:numPr>
        <w:tabs>
          <w:tab w:val="left" w:pos="993"/>
        </w:tabs>
        <w:spacing w:before="0" w:beforeAutospacing="0" w:after="0" w:afterAutospacing="0"/>
        <w:jc w:val="both"/>
        <w:rPr>
          <w:sz w:val="22"/>
          <w:szCs w:val="22"/>
        </w:rPr>
      </w:pPr>
      <w:r>
        <w:rPr>
          <w:sz w:val="22"/>
          <w:szCs w:val="22"/>
        </w:rPr>
        <w:fldChar w:fldCharType="begin"/>
      </w:r>
      <w:r>
        <w:rPr>
          <w:sz w:val="22"/>
          <w:szCs w:val="22"/>
        </w:rPr>
        <w:instrText xml:space="preserve"> HYPERLINK "https://www.planalto.gov.br/ccivil_03/_ato2011-2014/2013/lei/l12846.htm" \h </w:instrText>
      </w:r>
      <w:r>
        <w:rPr>
          <w:sz w:val="22"/>
          <w:szCs w:val="22"/>
        </w:rPr>
        <w:fldChar w:fldCharType="separate"/>
      </w:r>
      <w:r>
        <w:rPr>
          <w:rStyle w:val="62"/>
          <w:sz w:val="22"/>
          <w:szCs w:val="22"/>
        </w:rPr>
        <w:t>Lei Federal nº 12.846, de 2013</w:t>
      </w:r>
      <w:r>
        <w:rPr>
          <w:rStyle w:val="62"/>
          <w:sz w:val="22"/>
          <w:szCs w:val="22"/>
        </w:rPr>
        <w:fldChar w:fldCharType="end"/>
      </w:r>
      <w:r>
        <w:rPr>
          <w:sz w:val="22"/>
          <w:szCs w:val="22"/>
        </w:rPr>
        <w:t xml:space="preserve"> (Dispõe sobre a responsabilização administrativa e civil de pessoas jurídicas pela prática de atos contra a administração pública, nacional ou estrangeira, e dá outras providências);</w:t>
      </w:r>
    </w:p>
    <w:p w14:paraId="29EB4602">
      <w:pPr>
        <w:pStyle w:val="32"/>
        <w:numPr>
          <w:ilvl w:val="2"/>
          <w:numId w:val="14"/>
        </w:numPr>
        <w:tabs>
          <w:tab w:val="left" w:pos="993"/>
        </w:tabs>
        <w:spacing w:before="0" w:beforeAutospacing="0" w:after="0" w:afterAutospacing="0"/>
        <w:jc w:val="both"/>
        <w:rPr>
          <w:sz w:val="22"/>
          <w:szCs w:val="22"/>
        </w:rPr>
      </w:pPr>
      <w:r>
        <w:rPr>
          <w:sz w:val="22"/>
          <w:szCs w:val="22"/>
        </w:rPr>
        <w:fldChar w:fldCharType="begin"/>
      </w:r>
      <w:r>
        <w:rPr>
          <w:sz w:val="22"/>
          <w:szCs w:val="22"/>
        </w:rPr>
        <w:instrText xml:space="preserve"> HYPERLINK "https://www.planalto.gov.br/ccivil_03/_ato2011-2014/2011/lei/l12527.htm" \h </w:instrText>
      </w:r>
      <w:r>
        <w:rPr>
          <w:sz w:val="22"/>
          <w:szCs w:val="22"/>
        </w:rPr>
        <w:fldChar w:fldCharType="separate"/>
      </w:r>
      <w:r>
        <w:rPr>
          <w:rStyle w:val="62"/>
          <w:sz w:val="22"/>
          <w:szCs w:val="22"/>
        </w:rPr>
        <w:t>Lei Federal nº 12.527, de 2011</w:t>
      </w:r>
      <w:r>
        <w:rPr>
          <w:rStyle w:val="62"/>
          <w:sz w:val="22"/>
          <w:szCs w:val="22"/>
        </w:rPr>
        <w:fldChar w:fldCharType="end"/>
      </w:r>
      <w:r>
        <w:rPr>
          <w:sz w:val="22"/>
          <w:szCs w:val="22"/>
        </w:rPr>
        <w:t xml:space="preserve"> (Lei de Acesso à Informação);</w:t>
      </w:r>
    </w:p>
    <w:p w14:paraId="47CE38FF">
      <w:pPr>
        <w:pStyle w:val="32"/>
        <w:numPr>
          <w:ilvl w:val="2"/>
          <w:numId w:val="14"/>
        </w:numPr>
        <w:tabs>
          <w:tab w:val="left" w:pos="993"/>
        </w:tabs>
        <w:spacing w:before="0" w:beforeAutospacing="0" w:after="0" w:afterAutospacing="0"/>
        <w:jc w:val="both"/>
        <w:rPr>
          <w:sz w:val="22"/>
          <w:szCs w:val="22"/>
        </w:rPr>
      </w:pP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w:t>
      </w:r>
      <w:r>
        <w:rPr>
          <w:rStyle w:val="62"/>
          <w:sz w:val="22"/>
          <w:szCs w:val="22"/>
        </w:rPr>
        <w:fldChar w:fldCharType="end"/>
      </w:r>
      <w:r>
        <w:rPr>
          <w:sz w:val="22"/>
          <w:szCs w:val="22"/>
        </w:rPr>
        <w:t xml:space="preserve"> (Lei Geral de Proteção de Dados - LGPD).</w:t>
      </w:r>
    </w:p>
    <w:p w14:paraId="4A7CF1D0">
      <w:pPr>
        <w:pStyle w:val="32"/>
        <w:numPr>
          <w:ilvl w:val="0"/>
          <w:numId w:val="0"/>
        </w:numPr>
        <w:tabs>
          <w:tab w:val="left" w:pos="993"/>
        </w:tabs>
        <w:spacing w:before="0" w:beforeAutospacing="0" w:after="0" w:afterAutospacing="0"/>
        <w:ind w:left="720" w:leftChars="0"/>
        <w:jc w:val="both"/>
        <w:rPr>
          <w:sz w:val="22"/>
          <w:szCs w:val="22"/>
        </w:rPr>
      </w:pPr>
    </w:p>
    <w:p w14:paraId="3732142A">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 xml:space="preserve">REGIME DE EXECUÇÃO </w:t>
      </w:r>
      <w:r>
        <w:rPr>
          <w:sz w:val="22"/>
          <w:szCs w:val="22"/>
        </w:rPr>
        <w:t>(</w:t>
      </w:r>
      <w:r>
        <w:rPr>
          <w:sz w:val="22"/>
          <w:szCs w:val="22"/>
        </w:rPr>
        <w:fldChar w:fldCharType="begin"/>
      </w:r>
      <w:r>
        <w:rPr>
          <w:rStyle w:val="62"/>
          <w:sz w:val="22"/>
          <w:szCs w:val="22"/>
        </w:rPr>
        <w:instrText xml:space="preserve"> HYPERLINK "https://www.planalto.gov.br/ccivil_03/_ato2019-2022/2021/lei/l14133.htm" \l "art92"</w:instrText>
      </w:r>
      <w:r>
        <w:rPr>
          <w:rStyle w:val="62"/>
          <w:sz w:val="22"/>
          <w:szCs w:val="22"/>
        </w:rPr>
        <w:fldChar w:fldCharType="separate"/>
      </w:r>
      <w:r>
        <w:rPr>
          <w:rStyle w:val="62"/>
          <w:sz w:val="22"/>
          <w:szCs w:val="22"/>
        </w:rPr>
        <w:t>art. 92, IV, da Lei Federal nº 14.133, de 2021</w:t>
      </w:r>
      <w:r>
        <w:rPr>
          <w:rStyle w:val="62"/>
          <w:sz w:val="22"/>
          <w:szCs w:val="22"/>
        </w:rPr>
        <w:fldChar w:fldCharType="end"/>
      </w:r>
      <w:r>
        <w:rPr>
          <w:sz w:val="22"/>
          <w:szCs w:val="22"/>
        </w:rPr>
        <w:t>)</w:t>
      </w:r>
    </w:p>
    <w:p w14:paraId="4E4F8B6D">
      <w:pPr>
        <w:pStyle w:val="32"/>
        <w:numPr>
          <w:ilvl w:val="1"/>
          <w:numId w:val="14"/>
        </w:numPr>
        <w:tabs>
          <w:tab w:val="left" w:pos="993"/>
        </w:tabs>
        <w:spacing w:before="0" w:beforeAutospacing="0" w:after="0" w:afterAutospacing="0"/>
        <w:ind w:left="0" w:firstLine="567"/>
        <w:jc w:val="both"/>
        <w:rPr>
          <w:sz w:val="22"/>
          <w:szCs w:val="22"/>
        </w:rPr>
      </w:pPr>
      <w:r>
        <w:rPr>
          <w:sz w:val="22"/>
          <w:szCs w:val="22"/>
        </w:rPr>
        <w:t>O regime de execução é o de empreitada por preço global (</w:t>
      </w:r>
      <w:r>
        <w:rPr>
          <w:sz w:val="22"/>
          <w:szCs w:val="22"/>
        </w:rPr>
        <w:fldChar w:fldCharType="begin"/>
      </w:r>
      <w:r>
        <w:rPr>
          <w:rStyle w:val="62"/>
          <w:sz w:val="22"/>
          <w:szCs w:val="22"/>
        </w:rPr>
        <w:instrText xml:space="preserve"> HYPERLINK "http://www.planalto.gov.br/ccivil_03/_ato2019-2022/2021/lei/L14133.htm" \l "art46"</w:instrText>
      </w:r>
      <w:r>
        <w:rPr>
          <w:rStyle w:val="62"/>
          <w:sz w:val="22"/>
          <w:szCs w:val="22"/>
        </w:rPr>
        <w:fldChar w:fldCharType="separate"/>
      </w:r>
      <w:r>
        <w:rPr>
          <w:rStyle w:val="62"/>
          <w:sz w:val="22"/>
          <w:szCs w:val="22"/>
        </w:rPr>
        <w:t>art. 46, II, da Lei Federal nº 14.133, de 2021</w:t>
      </w:r>
      <w:r>
        <w:rPr>
          <w:rStyle w:val="62"/>
          <w:sz w:val="22"/>
          <w:szCs w:val="22"/>
        </w:rPr>
        <w:fldChar w:fldCharType="end"/>
      </w:r>
      <w:r>
        <w:rPr>
          <w:sz w:val="22"/>
          <w:szCs w:val="22"/>
        </w:rPr>
        <w:t>).</w:t>
      </w:r>
    </w:p>
    <w:p w14:paraId="368E3839">
      <w:pPr>
        <w:pStyle w:val="32"/>
        <w:numPr>
          <w:ilvl w:val="0"/>
          <w:numId w:val="0"/>
        </w:numPr>
        <w:tabs>
          <w:tab w:val="left" w:pos="993"/>
        </w:tabs>
        <w:spacing w:before="0" w:beforeAutospacing="0" w:after="0" w:afterAutospacing="0"/>
        <w:ind w:left="567" w:leftChars="0"/>
        <w:jc w:val="both"/>
        <w:rPr>
          <w:sz w:val="22"/>
          <w:szCs w:val="22"/>
        </w:rPr>
      </w:pPr>
    </w:p>
    <w:p w14:paraId="3E94B7A5">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 xml:space="preserve">SUBCONTRATAÇÃO </w:t>
      </w:r>
      <w:r>
        <w:rPr>
          <w:rStyle w:val="16"/>
          <w:b w:val="0"/>
          <w:bCs w:val="0"/>
          <w:color w:val="000000"/>
          <w:sz w:val="22"/>
          <w:szCs w:val="22"/>
        </w:rPr>
        <w:t>(</w:t>
      </w:r>
      <w:r>
        <w:rPr>
          <w:sz w:val="22"/>
          <w:szCs w:val="22"/>
        </w:rPr>
        <w:fldChar w:fldCharType="begin"/>
      </w:r>
      <w:r>
        <w:rPr>
          <w:rStyle w:val="62"/>
          <w:sz w:val="22"/>
          <w:szCs w:val="22"/>
        </w:rPr>
        <w:instrText xml:space="preserve"> HYPERLINK "https://www.planalto.gov.br/ccivil_03/_ato2019-2022/2021/lei/l14133.htm" \l "art122"</w:instrText>
      </w:r>
      <w:r>
        <w:rPr>
          <w:rStyle w:val="62"/>
          <w:sz w:val="22"/>
          <w:szCs w:val="22"/>
        </w:rPr>
        <w:fldChar w:fldCharType="separate"/>
      </w:r>
      <w:r>
        <w:rPr>
          <w:rStyle w:val="62"/>
          <w:sz w:val="22"/>
          <w:szCs w:val="22"/>
        </w:rPr>
        <w:t>art. 122 da Lei Federal nº 14.133, de 2021</w:t>
      </w:r>
      <w:r>
        <w:rPr>
          <w:rStyle w:val="62"/>
          <w:sz w:val="22"/>
          <w:szCs w:val="22"/>
        </w:rPr>
        <w:fldChar w:fldCharType="end"/>
      </w:r>
      <w:r>
        <w:rPr>
          <w:rStyle w:val="16"/>
          <w:b w:val="0"/>
          <w:bCs w:val="0"/>
          <w:color w:val="000000"/>
          <w:sz w:val="22"/>
          <w:szCs w:val="22"/>
        </w:rPr>
        <w:t>)</w:t>
      </w:r>
    </w:p>
    <w:p w14:paraId="7029F944">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Não será admitida a subcontratação do objeto contratual.</w:t>
      </w:r>
    </w:p>
    <w:p w14:paraId="5C76D77B">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74EEACF4">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OBRIGAÇÕES DO CONTRATANTE</w:t>
      </w:r>
      <w:r>
        <w:rPr>
          <w:sz w:val="22"/>
          <w:szCs w:val="22"/>
        </w:rPr>
        <w:t xml:space="preserve"> (</w:t>
      </w:r>
      <w:r>
        <w:rPr>
          <w:sz w:val="22"/>
          <w:szCs w:val="22"/>
        </w:rPr>
        <w:fldChar w:fldCharType="begin"/>
      </w:r>
      <w:r>
        <w:rPr>
          <w:rStyle w:val="62"/>
          <w:sz w:val="22"/>
          <w:szCs w:val="22"/>
        </w:rPr>
        <w:instrText xml:space="preserve"> HYPERLINK "https://www.planalto.gov.br/ccivil_03/_ato2019-2022/2021/lei/l14133.htm" \l "art92"</w:instrText>
      </w:r>
      <w:r>
        <w:rPr>
          <w:rStyle w:val="62"/>
          <w:sz w:val="22"/>
          <w:szCs w:val="22"/>
        </w:rPr>
        <w:fldChar w:fldCharType="separate"/>
      </w:r>
      <w:r>
        <w:rPr>
          <w:rStyle w:val="62"/>
          <w:sz w:val="22"/>
          <w:szCs w:val="22"/>
        </w:rPr>
        <w:t>art. 92, X, XI e XIV, da Lei Federal nº 14.133, de 2021</w:t>
      </w:r>
      <w:r>
        <w:rPr>
          <w:rStyle w:val="62"/>
          <w:sz w:val="22"/>
          <w:szCs w:val="22"/>
        </w:rPr>
        <w:fldChar w:fldCharType="end"/>
      </w:r>
      <w:r>
        <w:rPr>
          <w:sz w:val="22"/>
          <w:szCs w:val="22"/>
        </w:rPr>
        <w:t>)</w:t>
      </w:r>
    </w:p>
    <w:p w14:paraId="04F238D1">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São </w:t>
      </w:r>
      <w:r>
        <w:rPr>
          <w:color w:val="000000" w:themeColor="text1"/>
          <w:sz w:val="22"/>
          <w:szCs w:val="22"/>
          <w14:textFill>
            <w14:solidFill>
              <w14:schemeClr w14:val="tx1"/>
            </w14:solidFill>
          </w14:textFill>
        </w:rPr>
        <w:t>obrigações</w:t>
      </w:r>
      <w:r>
        <w:rPr>
          <w:sz w:val="22"/>
          <w:szCs w:val="22"/>
        </w:rPr>
        <w:t xml:space="preserve"> do Contratante:</w:t>
      </w:r>
    </w:p>
    <w:p w14:paraId="4C92C4EA">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exigir o cumprimento de todas as obrigações assumidas pela Contratada, de acordo com o contrato e seus anexos;</w:t>
      </w:r>
    </w:p>
    <w:p w14:paraId="796C7815">
      <w:pPr>
        <w:pStyle w:val="32"/>
        <w:numPr>
          <w:ilvl w:val="2"/>
          <w:numId w:val="14"/>
        </w:numPr>
        <w:tabs>
          <w:tab w:val="left" w:pos="993"/>
        </w:tabs>
        <w:spacing w:before="0" w:beforeAutospacing="0" w:after="0" w:afterAutospacing="0"/>
        <w:jc w:val="both"/>
        <w:rPr>
          <w:sz w:val="22"/>
          <w:szCs w:val="22"/>
        </w:rPr>
      </w:pPr>
      <w:r>
        <w:rPr>
          <w:color w:val="000000"/>
          <w:sz w:val="22"/>
          <w:szCs w:val="22"/>
        </w:rPr>
        <w:t xml:space="preserve">Não exigir da Contratada, serviços estranhos às atividades especificadas no </w:t>
      </w:r>
      <w:r>
        <w:rPr>
          <w:rStyle w:val="53"/>
          <w:color w:val="000000"/>
          <w:sz w:val="22"/>
          <w:szCs w:val="22"/>
        </w:rPr>
        <w:t>Termo de Referência</w:t>
      </w:r>
      <w:r>
        <w:rPr>
          <w:color w:val="000000"/>
          <w:sz w:val="22"/>
          <w:szCs w:val="22"/>
        </w:rPr>
        <w:t>;</w:t>
      </w:r>
    </w:p>
    <w:p w14:paraId="0A826F49">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acompanhar e fiscalizar a execução do contrato e o cumprimento das obrigações pela Contratada, </w:t>
      </w:r>
      <w:r>
        <w:rPr>
          <w:color w:val="000000"/>
          <w:sz w:val="22"/>
          <w:szCs w:val="22"/>
        </w:rPr>
        <w:t>anotando em registro próprio as falhas detectadas e comunicar as ocorrências de quaisquer fatos que exijam medidas corretivas por parte da Contratada</w:t>
      </w:r>
      <w:r>
        <w:rPr>
          <w:sz w:val="22"/>
          <w:szCs w:val="22"/>
        </w:rPr>
        <w:t>;</w:t>
      </w:r>
    </w:p>
    <w:p w14:paraId="08DCCE60">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fornecer as informações necessárias para o desenvolvimento dos serviços objeto do contrato;</w:t>
      </w:r>
    </w:p>
    <w:p w14:paraId="4234B36C">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previamente à expedição da ordem de serviço, verificar pendências, liberar áreas e/ou adotar providências cabíveis para a regularidade do início da sua execução;</w:t>
      </w:r>
    </w:p>
    <w:p w14:paraId="5450C847">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notificar a Contratada, por escrito, da ocorrência de eventuais imperfeições, falhas ou irregularidades constatadas no curso da execução dos serviços, fixando prazo para a sua correção, certificando-se de que as soluções por ele propostas sejam as mais adequadas, para que seja por ele substituído, reparado ou corrigido, no total ou em parte, às suas expensas;</w:t>
      </w:r>
    </w:p>
    <w:p w14:paraId="7CC5252A">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comunicar a Contratada para emissão de Nota Fiscal no que se refere à parcela incontroversa da execução do objeto, para efeito de liquidação;</w:t>
      </w:r>
    </w:p>
    <w:p w14:paraId="21DE05A0">
      <w:pPr>
        <w:pStyle w:val="32"/>
        <w:numPr>
          <w:ilvl w:val="2"/>
          <w:numId w:val="14"/>
        </w:numPr>
        <w:tabs>
          <w:tab w:val="left" w:pos="993"/>
        </w:tabs>
        <w:spacing w:before="0" w:beforeAutospacing="0" w:after="0" w:afterAutospacing="0"/>
        <w:jc w:val="both"/>
        <w:rPr>
          <w:sz w:val="22"/>
          <w:szCs w:val="22"/>
        </w:rPr>
      </w:pPr>
      <w:r>
        <w:rPr>
          <w:sz w:val="22"/>
          <w:szCs w:val="22"/>
        </w:rPr>
        <w:t xml:space="preserve">receber o objeto no prazo e condições estabelecidas no </w:t>
      </w:r>
      <w:r>
        <w:rPr>
          <w:rStyle w:val="53"/>
          <w:color w:val="000000"/>
          <w:sz w:val="22"/>
          <w:szCs w:val="22"/>
        </w:rPr>
        <w:t>Termo de Referência</w:t>
      </w:r>
      <w:r>
        <w:rPr>
          <w:sz w:val="22"/>
          <w:szCs w:val="22"/>
        </w:rPr>
        <w:t>;</w:t>
      </w:r>
    </w:p>
    <w:p w14:paraId="5B1C2759">
      <w:pPr>
        <w:pStyle w:val="32"/>
        <w:numPr>
          <w:ilvl w:val="2"/>
          <w:numId w:val="14"/>
        </w:numPr>
        <w:tabs>
          <w:tab w:val="left" w:pos="993"/>
        </w:tabs>
        <w:spacing w:before="0" w:beforeAutospacing="0" w:after="0" w:afterAutospacing="0"/>
        <w:jc w:val="both"/>
        <w:rPr>
          <w:sz w:val="22"/>
          <w:szCs w:val="22"/>
        </w:rPr>
      </w:pPr>
      <w:r>
        <w:rPr>
          <w:sz w:val="22"/>
          <w:szCs w:val="22"/>
        </w:rPr>
        <w:t xml:space="preserve">efetuar o pagamento à Contratada do valor correspondente à execução do objeto, no prazo, forma e condições estabelecidos no presente Contrato e no </w:t>
      </w:r>
      <w:r>
        <w:rPr>
          <w:rStyle w:val="53"/>
          <w:color w:val="000000"/>
          <w:sz w:val="22"/>
          <w:szCs w:val="22"/>
        </w:rPr>
        <w:t>Termo de Referência</w:t>
      </w:r>
      <w:r>
        <w:rPr>
          <w:sz w:val="22"/>
          <w:szCs w:val="22"/>
        </w:rPr>
        <w:t>, salvo no caso de parcela onde houver controvérsia.</w:t>
      </w:r>
    </w:p>
    <w:p w14:paraId="4C4A53FD">
      <w:pPr>
        <w:pStyle w:val="32"/>
        <w:numPr>
          <w:ilvl w:val="1"/>
          <w:numId w:val="14"/>
        </w:numPr>
        <w:tabs>
          <w:tab w:val="left" w:pos="993"/>
        </w:tabs>
        <w:spacing w:before="0" w:beforeAutospacing="0" w:after="0" w:afterAutospacing="0"/>
        <w:ind w:left="0" w:firstLine="567"/>
        <w:jc w:val="both"/>
        <w:rPr>
          <w:sz w:val="22"/>
          <w:szCs w:val="22"/>
        </w:rPr>
      </w:pPr>
      <w:bookmarkStart w:id="80" w:name="_Hlk114499841"/>
      <w:bookmarkEnd w:id="80"/>
      <w:r>
        <w:rPr>
          <w:color w:val="000000"/>
          <w:sz w:val="22"/>
          <w:szCs w:val="22"/>
        </w:rPr>
        <w:t>A Administração terá o prazo de 1 (um) mês, a contar da data do protocolo do requerimento para decidir sobre qualquer requerimento da Contratada sobre todas as solicitações e reclamações relacionadas à execução do presente Contrato, admitida a prorrogação motivada, por igual período, ressalvados os requerimentos manifestamente impertinentes, meramente protelatórios ou de nenhum interesse para a boa execução do ajuste. (</w:t>
      </w:r>
      <w:r>
        <w:rPr>
          <w:sz w:val="22"/>
          <w:szCs w:val="22"/>
        </w:rPr>
        <w:fldChar w:fldCharType="begin"/>
      </w:r>
      <w:r>
        <w:rPr>
          <w:rStyle w:val="62"/>
          <w:sz w:val="22"/>
          <w:szCs w:val="22"/>
        </w:rPr>
        <w:instrText xml:space="preserve"> HYPERLINK "https://www.planalto.gov.br/ccivil_03/_ato2019-2022/2021/lei/l14133.htm" \l "art123"</w:instrText>
      </w:r>
      <w:r>
        <w:rPr>
          <w:rStyle w:val="62"/>
          <w:sz w:val="22"/>
          <w:szCs w:val="22"/>
        </w:rPr>
        <w:fldChar w:fldCharType="separate"/>
      </w:r>
      <w:r>
        <w:rPr>
          <w:rStyle w:val="62"/>
          <w:sz w:val="22"/>
          <w:szCs w:val="22"/>
        </w:rPr>
        <w:t>art. 123 da Lei Federal nº 14.133, de 2021</w:t>
      </w:r>
      <w:r>
        <w:rPr>
          <w:rStyle w:val="62"/>
          <w:sz w:val="22"/>
          <w:szCs w:val="22"/>
        </w:rPr>
        <w:fldChar w:fldCharType="end"/>
      </w:r>
      <w:r>
        <w:rPr>
          <w:color w:val="000000"/>
          <w:sz w:val="22"/>
          <w:szCs w:val="22"/>
        </w:rPr>
        <w:t>)</w:t>
      </w:r>
    </w:p>
    <w:p w14:paraId="2D5D895A">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A Administração não responderá por quaisquer compromissos assumidos pela Contratada com terceiros, ainda que vinculados à execução da contratação, bem como por qualquer dano causado a terceiros em decorrência de ato da Contratada, de seus empregados, prepostos ou subordinados.</w:t>
      </w:r>
    </w:p>
    <w:p w14:paraId="5DA2E858">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1CDA7756">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OBRIGAÇÕES DA CONTRATADA</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XIV, XVI e XVII</w:t>
      </w:r>
      <w:r>
        <w:rPr>
          <w:rStyle w:val="62"/>
          <w:sz w:val="22"/>
          <w:szCs w:val="22"/>
        </w:rPr>
        <w:fldChar w:fldCharType="end"/>
      </w:r>
      <w:r>
        <w:rPr>
          <w:rStyle w:val="62"/>
          <w:sz w:val="22"/>
          <w:szCs w:val="22"/>
        </w:rPr>
        <w:t>, da Lei Federal nº 14.133, de 2021</w:t>
      </w:r>
      <w:r>
        <w:rPr>
          <w:sz w:val="22"/>
          <w:szCs w:val="22"/>
        </w:rPr>
        <w:t>)</w:t>
      </w:r>
    </w:p>
    <w:p w14:paraId="3BE188B6">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obriga-se a cumprir todas as obrigações constantes deste Contrato e de seus anexos, assumindo como exclusivamente seus os riscos e as despesas decorrentes da boa e perfeita execução do objeto, observando, ainda, as obrigações a seguir dispostas:</w:t>
      </w:r>
    </w:p>
    <w:p w14:paraId="58BE6FC1">
      <w:pPr>
        <w:pStyle w:val="32"/>
        <w:numPr>
          <w:ilvl w:val="2"/>
          <w:numId w:val="14"/>
        </w:numPr>
        <w:tabs>
          <w:tab w:val="left" w:pos="993"/>
        </w:tabs>
        <w:spacing w:before="0" w:beforeAutospacing="0" w:after="0" w:afterAutospacing="0"/>
        <w:jc w:val="both"/>
        <w:rPr>
          <w:sz w:val="22"/>
          <w:szCs w:val="22"/>
        </w:rPr>
      </w:pPr>
      <w:r>
        <w:rPr>
          <w:sz w:val="22"/>
          <w:szCs w:val="22"/>
        </w:rPr>
        <w:t>manter preposto aceito pela Administração no local do serviço para representá-lo na execução do contrato (</w:t>
      </w:r>
      <w:r>
        <w:rPr>
          <w:sz w:val="22"/>
          <w:szCs w:val="22"/>
        </w:rPr>
        <w:fldChar w:fldCharType="begin"/>
      </w:r>
      <w:r>
        <w:rPr>
          <w:rStyle w:val="62"/>
          <w:sz w:val="22"/>
          <w:szCs w:val="22"/>
        </w:rPr>
        <w:instrText xml:space="preserve"> HYPERLINK "https://www.planalto.gov.br/ccivil_03/_ato2019-2022/2021/lei/l14133.htm" \l "art118"</w:instrText>
      </w:r>
      <w:r>
        <w:rPr>
          <w:rStyle w:val="62"/>
          <w:sz w:val="22"/>
          <w:szCs w:val="22"/>
        </w:rPr>
        <w:fldChar w:fldCharType="separate"/>
      </w:r>
      <w:r>
        <w:rPr>
          <w:rStyle w:val="62"/>
          <w:sz w:val="22"/>
          <w:szCs w:val="22"/>
        </w:rPr>
        <w:t>art. 118 da Lei Federal nº 14.133, de 2021</w:t>
      </w:r>
      <w:r>
        <w:rPr>
          <w:rStyle w:val="62"/>
          <w:sz w:val="22"/>
          <w:szCs w:val="22"/>
        </w:rPr>
        <w:fldChar w:fldCharType="end"/>
      </w:r>
      <w:r>
        <w:rPr>
          <w:sz w:val="22"/>
          <w:szCs w:val="22"/>
        </w:rPr>
        <w:t>), sendo que a indicação ou a manutenção do preposto da Contratada poderá ser recusada pelo Contratante, desde que devidamente justificada, devendo a Contratada designar outro para o exercício da atividade;</w:t>
      </w:r>
    </w:p>
    <w:p w14:paraId="1383F2C6">
      <w:pPr>
        <w:pStyle w:val="32"/>
        <w:numPr>
          <w:ilvl w:val="2"/>
          <w:numId w:val="14"/>
        </w:numPr>
        <w:tabs>
          <w:tab w:val="left" w:pos="993"/>
        </w:tabs>
        <w:spacing w:before="0" w:beforeAutospacing="0" w:after="0" w:afterAutospacing="0"/>
        <w:jc w:val="both"/>
        <w:rPr>
          <w:sz w:val="22"/>
          <w:szCs w:val="22"/>
        </w:rPr>
      </w:pPr>
      <w:r>
        <w:rPr>
          <w:sz w:val="22"/>
          <w:szCs w:val="22"/>
        </w:rPr>
        <w:t>atender às determinações regulares emitidas pelo(a) fiscal do contrato ou autoridade superior (</w:t>
      </w:r>
      <w:r>
        <w:rPr>
          <w:sz w:val="22"/>
          <w:szCs w:val="22"/>
        </w:rPr>
        <w:fldChar w:fldCharType="begin"/>
      </w:r>
      <w:r>
        <w:rPr>
          <w:rStyle w:val="62"/>
          <w:sz w:val="22"/>
          <w:szCs w:val="22"/>
        </w:rPr>
        <w:instrText xml:space="preserve"> HYPERLINK "http://www.planalto.gov.br/ccivil_03/_ato2019-2022/2021/lei/L14133.htm" \l "art137"</w:instrText>
      </w:r>
      <w:r>
        <w:rPr>
          <w:rStyle w:val="62"/>
          <w:sz w:val="22"/>
          <w:szCs w:val="22"/>
        </w:rPr>
        <w:fldChar w:fldCharType="separate"/>
      </w:r>
      <w:r>
        <w:rPr>
          <w:rStyle w:val="62"/>
          <w:sz w:val="22"/>
          <w:szCs w:val="22"/>
        </w:rPr>
        <w:t>art. 137, II</w:t>
      </w:r>
      <w:r>
        <w:rPr>
          <w:rStyle w:val="62"/>
          <w:sz w:val="22"/>
          <w:szCs w:val="22"/>
        </w:rPr>
        <w:fldChar w:fldCharType="end"/>
      </w:r>
      <w:r>
        <w:rPr>
          <w:rStyle w:val="62"/>
          <w:sz w:val="22"/>
          <w:szCs w:val="22"/>
        </w:rPr>
        <w:t>, da Lei Federal nº 14.133, de 2021</w:t>
      </w:r>
      <w:r>
        <w:rPr>
          <w:sz w:val="22"/>
          <w:szCs w:val="22"/>
        </w:rPr>
        <w:t>)</w:t>
      </w:r>
      <w:r>
        <w:rPr>
          <w:color w:val="000000" w:themeColor="text1"/>
          <w:sz w:val="22"/>
          <w:szCs w:val="22"/>
          <w14:textFill>
            <w14:solidFill>
              <w14:schemeClr w14:val="tx1"/>
            </w14:solidFill>
          </w14:textFill>
        </w:rPr>
        <w:t xml:space="preserve"> e </w:t>
      </w:r>
      <w:r>
        <w:rPr>
          <w:sz w:val="22"/>
          <w:szCs w:val="22"/>
        </w:rPr>
        <w:t>prestar todo esclarecimento ou informação por eles solicitados;</w:t>
      </w:r>
    </w:p>
    <w:p w14:paraId="09B18466">
      <w:pPr>
        <w:pStyle w:val="32"/>
        <w:numPr>
          <w:ilvl w:val="2"/>
          <w:numId w:val="14"/>
        </w:numPr>
        <w:tabs>
          <w:tab w:val="left" w:pos="993"/>
        </w:tabs>
        <w:spacing w:before="0" w:beforeAutospacing="0" w:after="0" w:afterAutospacing="0"/>
        <w:jc w:val="both"/>
        <w:rPr>
          <w:sz w:val="22"/>
          <w:szCs w:val="22"/>
        </w:rPr>
      </w:pPr>
      <w:r>
        <w:rPr>
          <w:sz w:val="22"/>
          <w:szCs w:val="22"/>
        </w:rPr>
        <w:t xml:space="preserve">alocar os empregados necessários ao perfeito cumprimento das cláusulas deste contrato, com habilitação e conhecimento adequados, em especial aqueles descritos para execução dos serviços previstos no </w:t>
      </w:r>
      <w:r>
        <w:rPr>
          <w:rStyle w:val="53"/>
          <w:color w:val="000000"/>
          <w:sz w:val="22"/>
          <w:szCs w:val="22"/>
        </w:rPr>
        <w:t>Termo de Referência</w:t>
      </w:r>
      <w:r>
        <w:rPr>
          <w:sz w:val="22"/>
          <w:szCs w:val="22"/>
        </w:rPr>
        <w:t>, materiais, equipamentos, ferramentas e utensílios demandados, cuja quantidade, qualidade e tecnologia deverão atender às recomendações de boa técnica e a legislação de regência;</w:t>
      </w:r>
    </w:p>
    <w:p w14:paraId="51C6483E">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reparar, corrigir, remover, refazer ou substituir, às suas expensas, no total ou em parte, no prazo fixado pelo(a) fiscal do contrato, os serviços nos quais se verificarem vícios, defeitos ou incorreções resultantes da execução;</w:t>
      </w:r>
    </w:p>
    <w:p w14:paraId="6EDC01B0">
      <w:pPr>
        <w:pStyle w:val="32"/>
        <w:numPr>
          <w:ilvl w:val="2"/>
          <w:numId w:val="14"/>
        </w:numPr>
        <w:tabs>
          <w:tab w:val="left" w:pos="993"/>
        </w:tabs>
        <w:spacing w:before="0" w:beforeAutospacing="0" w:after="0" w:afterAutospacing="0"/>
        <w:jc w:val="both"/>
        <w:rPr>
          <w:sz w:val="22"/>
          <w:szCs w:val="22"/>
        </w:rPr>
      </w:pPr>
      <w:r>
        <w:rPr>
          <w:sz w:val="22"/>
          <w:szCs w:val="22"/>
        </w:rPr>
        <w:t xml:space="preserve">responsabilizar-se pelos vícios e danos decorrentes da execução do objeto, de acordo com o </w:t>
      </w:r>
      <w:r>
        <w:rPr>
          <w:sz w:val="22"/>
          <w:szCs w:val="22"/>
        </w:rPr>
        <w:fldChar w:fldCharType="begin"/>
      </w:r>
      <w:r>
        <w:rPr>
          <w:sz w:val="22"/>
          <w:szCs w:val="22"/>
        </w:rPr>
        <w:instrText xml:space="preserve"> HYPERLINK "https://www.planalto.gov.br/ccivil_03/leis/l8078compilado.htm" \h </w:instrText>
      </w:r>
      <w:r>
        <w:rPr>
          <w:sz w:val="22"/>
          <w:szCs w:val="22"/>
        </w:rPr>
        <w:fldChar w:fldCharType="separate"/>
      </w:r>
      <w:r>
        <w:rPr>
          <w:rStyle w:val="62"/>
          <w:sz w:val="22"/>
          <w:szCs w:val="22"/>
        </w:rPr>
        <w:t>Código de Defesa do Consumidor (Lei Federal nº 8.078, de 1990</w:t>
      </w:r>
      <w:r>
        <w:rPr>
          <w:rStyle w:val="62"/>
          <w:sz w:val="22"/>
          <w:szCs w:val="22"/>
        </w:rPr>
        <w:fldChar w:fldCharType="end"/>
      </w:r>
      <w:r>
        <w:rPr>
          <w:sz w:val="22"/>
          <w:szCs w:val="22"/>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5681911">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efetuar comunicação ao Contratante, assim que tiver ciência da impossibilidade de realização ou finalização do serviço no prazo estabelecido, para adoção de ações de contingência cabíveis;</w:t>
      </w:r>
    </w:p>
    <w:p w14:paraId="6DB66692">
      <w:pPr>
        <w:pStyle w:val="32"/>
        <w:numPr>
          <w:ilvl w:val="2"/>
          <w:numId w:val="14"/>
        </w:numPr>
        <w:tabs>
          <w:tab w:val="left" w:pos="993"/>
        </w:tabs>
        <w:spacing w:before="0" w:beforeAutospacing="0" w:after="0" w:afterAutospacing="0"/>
        <w:jc w:val="both"/>
        <w:rPr>
          <w:sz w:val="22"/>
          <w:szCs w:val="22"/>
        </w:rPr>
      </w:pPr>
      <w:r>
        <w:rPr>
          <w:sz w:val="22"/>
          <w:szCs w:val="22"/>
        </w:rPr>
        <w:t xml:space="preserve">não contratar, durante a vigência do contrato, cônjuge, companheiro ou parente em linha reta, colateral ou por afinidade, até o terceiro grau, de dirigente do Contratante ou do(a) fiscal ou gestor(a) do contrato, nos termos do </w:t>
      </w:r>
      <w:r>
        <w:rPr>
          <w:sz w:val="22"/>
          <w:szCs w:val="22"/>
        </w:rPr>
        <w:fldChar w:fldCharType="begin"/>
      </w:r>
      <w:r>
        <w:rPr>
          <w:rStyle w:val="62"/>
          <w:sz w:val="22"/>
          <w:szCs w:val="22"/>
        </w:rPr>
        <w:instrText xml:space="preserve"> HYPERLINK "http://www.planalto.gov.br/ccivil_03/_ato2019-2022/2021/lei/L14133.htm" \l "art48"</w:instrText>
      </w:r>
      <w:r>
        <w:rPr>
          <w:rStyle w:val="62"/>
          <w:sz w:val="22"/>
          <w:szCs w:val="22"/>
        </w:rPr>
        <w:fldChar w:fldCharType="separate"/>
      </w:r>
      <w:r>
        <w:rPr>
          <w:rStyle w:val="62"/>
          <w:sz w:val="22"/>
          <w:szCs w:val="22"/>
        </w:rPr>
        <w:t>artigo 48, parágrafo único, da Lei Federal nº 14.133, de 2021</w:t>
      </w:r>
      <w:r>
        <w:rPr>
          <w:rStyle w:val="62"/>
          <w:sz w:val="22"/>
          <w:szCs w:val="22"/>
        </w:rPr>
        <w:fldChar w:fldCharType="end"/>
      </w:r>
      <w:r>
        <w:rPr>
          <w:sz w:val="22"/>
          <w:szCs w:val="22"/>
        </w:rPr>
        <w:t>;</w:t>
      </w:r>
    </w:p>
    <w:p w14:paraId="7E7837DD">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em especial a documentação exigida na habilitação técnica; </w:t>
      </w:r>
    </w:p>
    <w:p w14:paraId="2973714E">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180D8B2E">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comunicar ao(à) fiscal do contrato, no prazo de até 1 (um) dia útil, qualquer ocorrência anormal ou acidente que se verifique no local da execução do objeto contratual;</w:t>
      </w:r>
    </w:p>
    <w:p w14:paraId="2AF2A677">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prestar todo esclarecimento ou informação solicitada pelo Contratante, garantindo-lhe o acesso, a qualquer tempo, ao local dos trabalhos, bem como aos documentos relativos à execução do(s) serviço(s);</w:t>
      </w:r>
    </w:p>
    <w:p w14:paraId="57B261FA">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14:paraId="2F58AE75">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promover a guarda, manutenção e vigilância de materiais, ferramentas, e tudo o que for necessário à execução do objeto, durante a vigência do contrato;</w:t>
      </w:r>
    </w:p>
    <w:p w14:paraId="0E509C71">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submeter previamente, por escrito, ao Contratante, para análise e aprovação, quaisquer mudanças nos métodos executivos que fujam às especificações do memorial descritivo ou instrumento congênere;</w:t>
      </w:r>
    </w:p>
    <w:p w14:paraId="7B641529">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7BFE1B91">
      <w:pPr>
        <w:pStyle w:val="32"/>
        <w:numPr>
          <w:ilvl w:val="2"/>
          <w:numId w:val="14"/>
        </w:numPr>
        <w:tabs>
          <w:tab w:val="left" w:pos="993"/>
        </w:tabs>
        <w:spacing w:before="0" w:beforeAutospacing="0" w:after="0" w:afterAutospacing="0"/>
        <w:jc w:val="both"/>
        <w:rPr>
          <w:sz w:val="22"/>
          <w:szCs w:val="22"/>
        </w:rPr>
      </w:pPr>
      <w:r>
        <w:rPr>
          <w:sz w:val="22"/>
          <w:szCs w:val="22"/>
        </w:rPr>
        <w:t xml:space="preserve">cumprir, durante todo o período de execução do contrato, a reserva de cargos prevista no </w:t>
      </w:r>
      <w:r>
        <w:rPr>
          <w:sz w:val="22"/>
          <w:szCs w:val="22"/>
        </w:rPr>
        <w:fldChar w:fldCharType="begin"/>
      </w:r>
      <w:r>
        <w:rPr>
          <w:rStyle w:val="62"/>
          <w:sz w:val="22"/>
          <w:szCs w:val="22"/>
        </w:rPr>
        <w:instrText xml:space="preserve"> HYPERLINK "https://www.planalto.gov.br/ccivil_03/leis/l8213cons.htm" \l "art93"</w:instrText>
      </w:r>
      <w:r>
        <w:rPr>
          <w:rStyle w:val="62"/>
          <w:sz w:val="22"/>
          <w:szCs w:val="22"/>
        </w:rPr>
        <w:fldChar w:fldCharType="separate"/>
      </w:r>
      <w:r>
        <w:rPr>
          <w:rStyle w:val="62"/>
          <w:sz w:val="22"/>
          <w:szCs w:val="22"/>
        </w:rPr>
        <w:t>art. 93, da Lei Federal nº 8.213, de 1991</w:t>
      </w:r>
      <w:r>
        <w:rPr>
          <w:rStyle w:val="62"/>
          <w:sz w:val="22"/>
          <w:szCs w:val="22"/>
        </w:rPr>
        <w:fldChar w:fldCharType="end"/>
      </w:r>
      <w:r>
        <w:rPr>
          <w:sz w:val="22"/>
          <w:szCs w:val="22"/>
        </w:rPr>
        <w:t>, para pessoa com deficiência, para reabilitado da Previdência Social e para aprendiz, bem como as reservas de cargos previstas na legislação (</w:t>
      </w:r>
      <w:r>
        <w:rPr>
          <w:sz w:val="22"/>
          <w:szCs w:val="22"/>
        </w:rPr>
        <w:fldChar w:fldCharType="begin"/>
      </w:r>
      <w:r>
        <w:rPr>
          <w:rStyle w:val="62"/>
          <w:sz w:val="22"/>
          <w:szCs w:val="22"/>
        </w:rPr>
        <w:instrText xml:space="preserve"> HYPERLINK "http://www.planalto.gov.br/ccivil_03/_ato2019-2022/2021/lei/L14133.htm" \l "art116"</w:instrText>
      </w:r>
      <w:r>
        <w:rPr>
          <w:rStyle w:val="62"/>
          <w:sz w:val="22"/>
          <w:szCs w:val="22"/>
        </w:rPr>
        <w:fldChar w:fldCharType="separate"/>
      </w:r>
      <w:r>
        <w:rPr>
          <w:rStyle w:val="62"/>
          <w:sz w:val="22"/>
          <w:szCs w:val="22"/>
        </w:rPr>
        <w:t>art. 116</w:t>
      </w:r>
      <w:r>
        <w:rPr>
          <w:rStyle w:val="62"/>
          <w:sz w:val="22"/>
          <w:szCs w:val="22"/>
        </w:rPr>
        <w:fldChar w:fldCharType="end"/>
      </w:r>
      <w:r>
        <w:rPr>
          <w:rStyle w:val="62"/>
          <w:sz w:val="22"/>
          <w:szCs w:val="22"/>
        </w:rPr>
        <w:t xml:space="preserve"> da Lei Federal nº 14.133, de 2021</w:t>
      </w:r>
      <w:r>
        <w:rPr>
          <w:sz w:val="22"/>
          <w:szCs w:val="22"/>
        </w:rPr>
        <w:t>), comprovando o cumprimento da legislação, no prazo fixado pelo(a) fiscal do contrato, com a indicação dos empregados que preencheram as referidas vagas e mantendo durante todo o período de contratação as cotas exigidas por Lei;</w:t>
      </w:r>
    </w:p>
    <w:p w14:paraId="78443E2C">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guardar sigilo sobre todas as informações obtidas em decorrência do cumprimento do contrato;</w:t>
      </w:r>
    </w:p>
    <w:p w14:paraId="4D14026E">
      <w:pPr>
        <w:pStyle w:val="32"/>
        <w:numPr>
          <w:ilvl w:val="2"/>
          <w:numId w:val="14"/>
        </w:numPr>
        <w:tabs>
          <w:tab w:val="left" w:pos="993"/>
        </w:tabs>
        <w:spacing w:before="0" w:beforeAutospacing="0" w:after="0" w:afterAutospacing="0"/>
        <w:jc w:val="both"/>
        <w:rPr>
          <w:sz w:val="22"/>
          <w:szCs w:val="22"/>
        </w:rPr>
      </w:pPr>
      <w:r>
        <w:rPr>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sz w:val="22"/>
          <w:szCs w:val="22"/>
        </w:rPr>
        <w:fldChar w:fldCharType="begin"/>
      </w:r>
      <w:r>
        <w:rPr>
          <w:rStyle w:val="62"/>
          <w:sz w:val="22"/>
          <w:szCs w:val="22"/>
        </w:rPr>
        <w:instrText xml:space="preserve"> HYPERLINK "http://www.planalto.gov.br/ccivil_03/_ato2019-2022/2021/lei/L14133.htm" \l "art124"</w:instrText>
      </w:r>
      <w:r>
        <w:rPr>
          <w:rStyle w:val="62"/>
          <w:sz w:val="22"/>
          <w:szCs w:val="22"/>
        </w:rPr>
        <w:fldChar w:fldCharType="separate"/>
      </w:r>
      <w:r>
        <w:rPr>
          <w:rStyle w:val="62"/>
          <w:sz w:val="22"/>
          <w:szCs w:val="22"/>
        </w:rPr>
        <w:t>art. 124, II, d, da Lei Federal nº 14.133, de 2021</w:t>
      </w:r>
      <w:r>
        <w:rPr>
          <w:rStyle w:val="62"/>
          <w:sz w:val="22"/>
          <w:szCs w:val="22"/>
        </w:rPr>
        <w:fldChar w:fldCharType="end"/>
      </w:r>
      <w:r>
        <w:rPr>
          <w:sz w:val="22"/>
          <w:szCs w:val="22"/>
        </w:rPr>
        <w:t>;</w:t>
      </w:r>
    </w:p>
    <w:p w14:paraId="58761B56">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cumprir, além dos postulados legais vigentes de âmbito federal, estadual ou municipal, as normas de segurança do Contratante, além das recomendações do(a) fiscal de contrato;</w:t>
      </w:r>
    </w:p>
    <w:p w14:paraId="4C3F6E4F">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apresentar ao Contratante, quando for o caso, a relação nominal dos empregados que atuarão na execução do serviço;</w:t>
      </w:r>
    </w:p>
    <w:p w14:paraId="5DD13E7B">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instruir seus empregados quanto à necessidade de acatar as Normas Internas do Contratante, bem como em relação às atividades a serem desempenhadas, alertando-os a não executarem atividades não abrangidas pelo contrato, devendo a Contratada relatar ao Contratante toda e qualquer ocorrência neste sentido, a fim de evitar desvio de função;</w:t>
      </w:r>
    </w:p>
    <w:p w14:paraId="5BC4140D">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obter junto aos órgãos competentes, conforme o caso, as licenças necessárias e demais documentos e autorizações exigíveis, na forma da legislação aplicável;</w:t>
      </w:r>
    </w:p>
    <w:p w14:paraId="155129FE">
      <w:pPr>
        <w:pStyle w:val="32"/>
        <w:numPr>
          <w:ilvl w:val="2"/>
          <w:numId w:val="14"/>
        </w:numPr>
        <w:tabs>
          <w:tab w:val="left" w:pos="993"/>
        </w:tabs>
        <w:spacing w:before="0" w:beforeAutospacing="0" w:after="0" w:afterAutospacing="0"/>
        <w:jc w:val="both"/>
        <w:rPr>
          <w:sz w:val="22"/>
          <w:szCs w:val="22"/>
        </w:rPr>
      </w:pPr>
      <w:r>
        <w:rPr>
          <w:sz w:val="22"/>
          <w:szCs w:val="22"/>
        </w:rPr>
        <w:t>atender</w:t>
      </w:r>
      <w:r>
        <w:rPr>
          <w:color w:val="000000"/>
          <w:sz w:val="22"/>
          <w:szCs w:val="22"/>
        </w:rPr>
        <w:t xml:space="preserve"> às determinações regulares emitidas pelo(a) fiscal ou gestor(a) do contrato ou autoridade superior (</w:t>
      </w:r>
      <w:r>
        <w:rPr>
          <w:sz w:val="22"/>
          <w:szCs w:val="22"/>
        </w:rPr>
        <w:fldChar w:fldCharType="begin"/>
      </w:r>
      <w:r>
        <w:rPr>
          <w:rStyle w:val="62"/>
          <w:sz w:val="22"/>
          <w:szCs w:val="22"/>
        </w:rPr>
        <w:instrText xml:space="preserve"> HYPERLINK "https://www.planalto.gov.br/ccivil_03/_ato2019-2022/2021/lei/l14133.htm" \l "art137"</w:instrText>
      </w:r>
      <w:r>
        <w:rPr>
          <w:rStyle w:val="62"/>
          <w:sz w:val="22"/>
          <w:szCs w:val="22"/>
        </w:rPr>
        <w:fldChar w:fldCharType="separate"/>
      </w:r>
      <w:r>
        <w:rPr>
          <w:rStyle w:val="62"/>
          <w:sz w:val="22"/>
          <w:szCs w:val="22"/>
        </w:rPr>
        <w:t>art. 137, II, da Lei Federal nº 14.133, de 2021</w:t>
      </w:r>
      <w:r>
        <w:rPr>
          <w:rStyle w:val="62"/>
          <w:sz w:val="22"/>
          <w:szCs w:val="22"/>
        </w:rPr>
        <w:fldChar w:fldCharType="end"/>
      </w:r>
      <w:r>
        <w:rPr>
          <w:color w:val="000000"/>
          <w:sz w:val="22"/>
          <w:szCs w:val="22"/>
        </w:rPr>
        <w:t>) e prestar todo esclarecimento ou informação por eles solicitados;</w:t>
      </w:r>
    </w:p>
    <w:p w14:paraId="22572419">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D9BA2E9">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entregar, junto com a Nota Fiscal, as certidões que comprovem a regularidade perante a Fazenda estadual e municipal do domicílio ou sede da Contratada, além das certidões federais que não estejam sendo emitidas pela rede mundial de computadores;</w:t>
      </w:r>
    </w:p>
    <w:p w14:paraId="615EAE8C">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7B646BB">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14:paraId="14A1FDC8">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w:t>
      </w:r>
    </w:p>
    <w:p w14:paraId="4A3A6518">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guardar sigilo sobre todas as informações obtidas em decorrência do cumprimento do contrato; </w:t>
      </w:r>
    </w:p>
    <w:p w14:paraId="7760F029">
      <w:pPr>
        <w:pStyle w:val="32"/>
        <w:numPr>
          <w:ilvl w:val="2"/>
          <w:numId w:val="14"/>
        </w:numPr>
        <w:tabs>
          <w:tab w:val="left" w:pos="993"/>
        </w:tabs>
        <w:spacing w:before="0" w:beforeAutospacing="0" w:after="0" w:afterAutospacing="0"/>
        <w:jc w:val="both"/>
        <w:rPr>
          <w:rFonts w:ascii="Times New Roman" w:hAnsi="Times New Roman"/>
          <w:sz w:val="22"/>
          <w:szCs w:val="22"/>
        </w:rPr>
      </w:pPr>
      <w:bookmarkStart w:id="81" w:name="_Ref118293001"/>
      <w:r>
        <w:rPr>
          <w:color w:val="000000"/>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81"/>
    </w:p>
    <w:p w14:paraId="7D3DD470">
      <w:pPr>
        <w:pStyle w:val="32"/>
        <w:numPr>
          <w:ilvl w:val="2"/>
          <w:numId w:val="14"/>
        </w:numPr>
        <w:tabs>
          <w:tab w:val="left" w:pos="993"/>
        </w:tabs>
        <w:spacing w:before="0" w:beforeAutospacing="0" w:after="0" w:afterAutospacing="0"/>
        <w:jc w:val="both"/>
        <w:rPr>
          <w:sz w:val="22"/>
          <w:szCs w:val="22"/>
        </w:rPr>
      </w:pPr>
      <w:r>
        <w:rPr>
          <w:color w:val="000000"/>
          <w:sz w:val="22"/>
          <w:szCs w:val="22"/>
        </w:rPr>
        <w:t xml:space="preserve">orientar e treinar seus empregados sobre os deveres previstos na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w:t>
      </w:r>
      <w:r>
        <w:rPr>
          <w:rStyle w:val="62"/>
          <w:sz w:val="22"/>
          <w:szCs w:val="22"/>
        </w:rPr>
        <w:fldChar w:fldCharType="end"/>
      </w:r>
      <w:r>
        <w:rPr>
          <w:color w:val="000000"/>
          <w:sz w:val="22"/>
          <w:szCs w:val="22"/>
        </w:rPr>
        <w:t>, adotando medidas eficazes para proteção de dados pessoais a que tenha acesso por força da execução deste contrato;</w:t>
      </w:r>
    </w:p>
    <w:p w14:paraId="0485D2FC">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7E467F40">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submeter previamente, por escrito, ao Contratante, para análise e aprovação, quaisquer mudanças nos métodos executivos que fujam às especificações do memorial descritivo ou instrumento congênere;</w:t>
      </w:r>
    </w:p>
    <w:p w14:paraId="048BA832">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executar os serviços objeto desta contratação com presteza e rapidez, conforme as necessidades do Contratante;</w:t>
      </w:r>
    </w:p>
    <w:p w14:paraId="188512D8">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não transferir a outrem, no todo ou em parte, o objeto do contrato a ser firmado, sem prévia anuência do Contratante;</w:t>
      </w:r>
    </w:p>
    <w:p w14:paraId="0C1670B3">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não caucionar nem utilizar o contrato a ser firmado para qualquer operação financeira, sem prévia e expressa anuência da administração deste Regional;</w:t>
      </w:r>
    </w:p>
    <w:p w14:paraId="75799C7D">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arcar com todos os encargos diretos e indiretos que incidirem sobre a contratação, inclusive os trabalhistas, previdenciários, fiscais e comerciais resultantes da execução contratual devendo apresentar, sempre que solicitada pelo(a) gestor(a) do contrato, a documentação comprobatória dos recolhimentos devidos;</w:t>
      </w:r>
    </w:p>
    <w:p w14:paraId="0F22A870">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recolher, no prazo estabelecido, valores referentes a penalidades de multa aplicadas, em procedimento administrativo, decorrentes de descumprimento de obrigações contratuais;</w:t>
      </w:r>
    </w:p>
    <w:p w14:paraId="2FFA2A4D">
      <w:pPr>
        <w:pStyle w:val="32"/>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acatar a fiscalização, a orientação e o gerenciamento dos trabalhos por parte do(a) gestor(a) e/ou do fiscal do contrato designado pela Administração.</w:t>
      </w:r>
    </w:p>
    <w:p w14:paraId="07CE0203">
      <w:pPr>
        <w:pStyle w:val="32"/>
        <w:numPr>
          <w:ilvl w:val="0"/>
          <w:numId w:val="0"/>
        </w:numPr>
        <w:tabs>
          <w:tab w:val="left" w:pos="993"/>
        </w:tabs>
        <w:spacing w:before="0" w:beforeAutospacing="0" w:after="0" w:afterAutospacing="0"/>
        <w:ind w:left="720" w:leftChars="0"/>
        <w:jc w:val="both"/>
        <w:rPr>
          <w:rFonts w:ascii="Times New Roman" w:hAnsi="Times New Roman"/>
          <w:sz w:val="22"/>
          <w:szCs w:val="22"/>
        </w:rPr>
      </w:pPr>
    </w:p>
    <w:p w14:paraId="7439CF8E">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 xml:space="preserve">OBRIGAÇÕES PERTINENTES À LGPD </w:t>
      </w:r>
      <w:r>
        <w:rPr>
          <w:rStyle w:val="16"/>
          <w:b w:val="0"/>
          <w:bCs w:val="0"/>
          <w:color w:val="000000"/>
          <w:sz w:val="22"/>
          <w:szCs w:val="22"/>
        </w:rPr>
        <w:t>(</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w:t>
      </w:r>
      <w:r>
        <w:rPr>
          <w:rStyle w:val="62"/>
          <w:sz w:val="22"/>
          <w:szCs w:val="22"/>
        </w:rPr>
        <w:fldChar w:fldCharType="end"/>
      </w:r>
      <w:r>
        <w:rPr>
          <w:rStyle w:val="16"/>
          <w:b w:val="0"/>
          <w:bCs w:val="0"/>
          <w:color w:val="000000"/>
          <w:sz w:val="22"/>
          <w:szCs w:val="22"/>
        </w:rPr>
        <w:t>)</w:t>
      </w:r>
    </w:p>
    <w:p w14:paraId="7516A166">
      <w:pPr>
        <w:pStyle w:val="32"/>
        <w:numPr>
          <w:ilvl w:val="1"/>
          <w:numId w:val="14"/>
        </w:numPr>
        <w:tabs>
          <w:tab w:val="left" w:pos="993"/>
        </w:tabs>
        <w:spacing w:before="0" w:beforeAutospacing="0" w:after="0" w:afterAutospacing="0"/>
        <w:ind w:left="0" w:firstLine="567"/>
        <w:jc w:val="both"/>
        <w:rPr>
          <w:sz w:val="22"/>
          <w:szCs w:val="22"/>
        </w:rPr>
      </w:pPr>
      <w:r>
        <w:rPr>
          <w:sz w:val="22"/>
          <w:szCs w:val="22"/>
        </w:rPr>
        <w:t xml:space="preserve">As partes deverão cumprir 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 (LGPD)</w:t>
      </w:r>
      <w:r>
        <w:rPr>
          <w:rStyle w:val="62"/>
          <w:sz w:val="22"/>
          <w:szCs w:val="22"/>
        </w:rPr>
        <w:fldChar w:fldCharType="end"/>
      </w:r>
      <w:r>
        <w:rPr>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E54EBCD">
      <w:pPr>
        <w:pStyle w:val="32"/>
        <w:numPr>
          <w:ilvl w:val="1"/>
          <w:numId w:val="14"/>
        </w:numPr>
        <w:tabs>
          <w:tab w:val="left" w:pos="993"/>
        </w:tabs>
        <w:spacing w:before="0" w:beforeAutospacing="0" w:after="0" w:afterAutospacing="0"/>
        <w:ind w:left="0" w:firstLine="567"/>
        <w:jc w:val="both"/>
        <w:rPr>
          <w:sz w:val="22"/>
          <w:szCs w:val="22"/>
        </w:rPr>
      </w:pPr>
      <w:r>
        <w:rPr>
          <w:sz w:val="22"/>
          <w:szCs w:val="22"/>
        </w:rPr>
        <w:t xml:space="preserve">Os dados obtidos somente poderão ser utilizados para as finalidades que justificaram seu acesso e de acordo com a boa-fé e com os princípios do </w:t>
      </w:r>
      <w:r>
        <w:rPr>
          <w:sz w:val="22"/>
          <w:szCs w:val="22"/>
        </w:rPr>
        <w:fldChar w:fldCharType="begin"/>
      </w:r>
      <w:r>
        <w:rPr>
          <w:rStyle w:val="62"/>
          <w:sz w:val="22"/>
          <w:szCs w:val="22"/>
        </w:rPr>
        <w:instrText xml:space="preserve"> HYPERLINK "https://www.planalto.gov.br/ccivil_03/_ato2015-2018/2018/lei/l13709.htm" \l "art6"</w:instrText>
      </w:r>
      <w:r>
        <w:rPr>
          <w:rStyle w:val="62"/>
          <w:sz w:val="22"/>
          <w:szCs w:val="22"/>
        </w:rPr>
        <w:fldChar w:fldCharType="separate"/>
      </w:r>
      <w:r>
        <w:rPr>
          <w:rStyle w:val="62"/>
          <w:sz w:val="22"/>
          <w:szCs w:val="22"/>
        </w:rPr>
        <w:t>art. 6º da Lei Federal nº 13.709, de 2018</w:t>
      </w:r>
      <w:r>
        <w:rPr>
          <w:rStyle w:val="62"/>
          <w:sz w:val="22"/>
          <w:szCs w:val="22"/>
        </w:rPr>
        <w:fldChar w:fldCharType="end"/>
      </w:r>
      <w:r>
        <w:rPr>
          <w:sz w:val="22"/>
          <w:szCs w:val="22"/>
        </w:rPr>
        <w:t>.</w:t>
      </w:r>
    </w:p>
    <w:p w14:paraId="0B7BFF16">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É vedado o compartilhamento com terceiros dos dados obtidos fora das hipóteses permitidas em Lei.</w:t>
      </w:r>
    </w:p>
    <w:p w14:paraId="3DACFE94">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Administração deverá ser informada no prazo de 5 (cinco) dias úteis sobre todos os contratos de suboperação firmados ou que venham a ser celebrados pela Contratada. </w:t>
      </w:r>
    </w:p>
    <w:p w14:paraId="16BD7814">
      <w:pPr>
        <w:pStyle w:val="32"/>
        <w:numPr>
          <w:ilvl w:val="1"/>
          <w:numId w:val="14"/>
        </w:numPr>
        <w:tabs>
          <w:tab w:val="left" w:pos="993"/>
        </w:tabs>
        <w:spacing w:before="0" w:beforeAutospacing="0" w:after="0" w:afterAutospacing="0"/>
        <w:ind w:left="0" w:firstLine="567"/>
        <w:jc w:val="both"/>
        <w:rPr>
          <w:sz w:val="22"/>
          <w:szCs w:val="22"/>
        </w:rPr>
      </w:pPr>
      <w:r>
        <w:rPr>
          <w:sz w:val="22"/>
          <w:szCs w:val="22"/>
        </w:rPr>
        <w:t xml:space="preserve">Terminado o tratamento dos dados nos termos do </w:t>
      </w:r>
      <w:r>
        <w:rPr>
          <w:sz w:val="22"/>
          <w:szCs w:val="22"/>
        </w:rPr>
        <w:fldChar w:fldCharType="begin"/>
      </w:r>
      <w:r>
        <w:rPr>
          <w:rStyle w:val="62"/>
          <w:sz w:val="22"/>
          <w:szCs w:val="22"/>
        </w:rPr>
        <w:instrText xml:space="preserve"> HYPERLINK "https://www.planalto.gov.br/ccivil_03/_ato2015-2018/2018/lei/l13709.htm" \l "art15"</w:instrText>
      </w:r>
      <w:r>
        <w:rPr>
          <w:rStyle w:val="62"/>
          <w:sz w:val="22"/>
          <w:szCs w:val="22"/>
        </w:rPr>
        <w:fldChar w:fldCharType="separate"/>
      </w:r>
      <w:r>
        <w:rPr>
          <w:rStyle w:val="62"/>
          <w:sz w:val="22"/>
          <w:szCs w:val="22"/>
        </w:rPr>
        <w:t>art. 15 da Lei Federal nº 13.709, de 2018</w:t>
      </w:r>
      <w:r>
        <w:rPr>
          <w:rStyle w:val="62"/>
          <w:sz w:val="22"/>
          <w:szCs w:val="22"/>
        </w:rPr>
        <w:fldChar w:fldCharType="end"/>
      </w:r>
      <w:r>
        <w:rPr>
          <w:sz w:val="22"/>
          <w:szCs w:val="22"/>
        </w:rPr>
        <w:t xml:space="preserve">, é dever da Contratada eliminá-los, com exceção das hipóteses do </w:t>
      </w:r>
      <w:r>
        <w:rPr>
          <w:sz w:val="22"/>
          <w:szCs w:val="22"/>
        </w:rPr>
        <w:fldChar w:fldCharType="begin"/>
      </w:r>
      <w:r>
        <w:rPr>
          <w:rStyle w:val="62"/>
          <w:sz w:val="22"/>
          <w:szCs w:val="22"/>
        </w:rPr>
        <w:instrText xml:space="preserve"> HYPERLINK "https://www.planalto.gov.br/ccivil_03/_ato2015-2018/2018/lei/l13709.htm" \l "art16"</w:instrText>
      </w:r>
      <w:r>
        <w:rPr>
          <w:rStyle w:val="62"/>
          <w:sz w:val="22"/>
          <w:szCs w:val="22"/>
        </w:rPr>
        <w:fldChar w:fldCharType="separate"/>
      </w:r>
      <w:r>
        <w:rPr>
          <w:rStyle w:val="62"/>
          <w:sz w:val="22"/>
          <w:szCs w:val="22"/>
        </w:rPr>
        <w:t>art. 16 da Lei Federal nº 13.709, de 2018</w:t>
      </w:r>
      <w:r>
        <w:rPr>
          <w:rStyle w:val="62"/>
          <w:sz w:val="22"/>
          <w:szCs w:val="22"/>
        </w:rPr>
        <w:fldChar w:fldCharType="end"/>
      </w:r>
      <w:r>
        <w:rPr>
          <w:sz w:val="22"/>
          <w:szCs w:val="22"/>
        </w:rPr>
        <w:t xml:space="preserve">, incluindo aquelas em que houver necessidade de guarda de documentação para fins de comprovação do cumprimento de obrigações legais ou contratuais e somente enquanto não prescritas essas obrigações. </w:t>
      </w:r>
    </w:p>
    <w:p w14:paraId="54B25E79">
      <w:pPr>
        <w:pStyle w:val="32"/>
        <w:numPr>
          <w:ilvl w:val="1"/>
          <w:numId w:val="14"/>
        </w:numPr>
        <w:tabs>
          <w:tab w:val="left" w:pos="993"/>
        </w:tabs>
        <w:spacing w:before="0" w:beforeAutospacing="0" w:after="0" w:afterAutospacing="0"/>
        <w:ind w:left="0" w:firstLine="567"/>
        <w:jc w:val="both"/>
        <w:rPr>
          <w:sz w:val="22"/>
          <w:szCs w:val="22"/>
        </w:rPr>
      </w:pPr>
      <w:r>
        <w:rPr>
          <w:sz w:val="22"/>
          <w:szCs w:val="22"/>
        </w:rPr>
        <w:t xml:space="preserve">É dever da Contratada orientar e treinar seus empregados sobre os deveres, requisitos e responsabilidades decorrentes da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w:t>
      </w:r>
      <w:r>
        <w:rPr>
          <w:rStyle w:val="62"/>
          <w:sz w:val="22"/>
          <w:szCs w:val="22"/>
        </w:rPr>
        <w:fldChar w:fldCharType="end"/>
      </w:r>
      <w:r>
        <w:rPr>
          <w:sz w:val="22"/>
          <w:szCs w:val="22"/>
        </w:rPr>
        <w:t xml:space="preserve">. </w:t>
      </w:r>
    </w:p>
    <w:p w14:paraId="68BBAEB8">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deverá exigir de suboperadores e subcontratadas o cumprimento dos deveres da presente cláusula, permanecendo integralmente responsável por garantir sua observância.</w:t>
      </w:r>
    </w:p>
    <w:p w14:paraId="313DF84F">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Contratante poderá realizar diligência para aferir o cumprimento dessa cláusula, devendo a Contratada atender prontamente eventuais pedidos de comprovação formulados. </w:t>
      </w:r>
    </w:p>
    <w:p w14:paraId="6AA4F9E6">
      <w:pPr>
        <w:pStyle w:val="32"/>
        <w:numPr>
          <w:ilvl w:val="1"/>
          <w:numId w:val="14"/>
        </w:numPr>
        <w:tabs>
          <w:tab w:val="left" w:pos="993"/>
        </w:tabs>
        <w:spacing w:before="0" w:beforeAutospacing="0" w:after="0" w:afterAutospacing="0"/>
        <w:ind w:left="0" w:firstLine="567"/>
        <w:jc w:val="both"/>
        <w:rPr>
          <w:sz w:val="22"/>
          <w:szCs w:val="22"/>
        </w:rPr>
      </w:pPr>
      <w:r>
        <w:rPr>
          <w:sz w:val="22"/>
          <w:szCs w:val="22"/>
        </w:rPr>
        <w:t xml:space="preserve">A Contratada deverá prestar, no prazo fixado pelo Contratante, prorrogável justificadamente, quaisquer informações acerca dos dados pessoais para cumprimento da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w:t>
      </w:r>
      <w:r>
        <w:rPr>
          <w:rStyle w:val="62"/>
          <w:sz w:val="22"/>
          <w:szCs w:val="22"/>
        </w:rPr>
        <w:fldChar w:fldCharType="end"/>
      </w:r>
      <w:r>
        <w:rPr>
          <w:sz w:val="22"/>
          <w:szCs w:val="22"/>
        </w:rPr>
        <w:t xml:space="preserve">, inclusive quanto a eventual descarte realizado. </w:t>
      </w:r>
    </w:p>
    <w:p w14:paraId="092F9CED">
      <w:pPr>
        <w:pStyle w:val="32"/>
        <w:numPr>
          <w:ilvl w:val="1"/>
          <w:numId w:val="14"/>
        </w:numPr>
        <w:tabs>
          <w:tab w:val="left" w:pos="993"/>
        </w:tabs>
        <w:spacing w:before="0" w:beforeAutospacing="0" w:after="0" w:afterAutospacing="0"/>
        <w:ind w:left="0" w:firstLine="567"/>
        <w:jc w:val="both"/>
        <w:rPr>
          <w:sz w:val="22"/>
          <w:szCs w:val="22"/>
        </w:rPr>
      </w:pPr>
      <w:r>
        <w:rPr>
          <w:sz w:val="22"/>
          <w:szCs w:val="22"/>
        </w:rPr>
        <w:t>Bancos de dados formados a partir de contratos administrativos, notadamente aqueles que se proponham a armazenar dados pessoais, devem ser mantidos em ambiente virtual controlado, com registro individual rastreável de tratamentos realizados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art. 37 da Lei Federal nº 13.709, de 2018</w:t>
      </w:r>
      <w:r>
        <w:rPr>
          <w:rStyle w:val="62"/>
          <w:sz w:val="22"/>
          <w:szCs w:val="22"/>
        </w:rPr>
        <w:fldChar w:fldCharType="end"/>
      </w:r>
      <w:r>
        <w:rPr>
          <w:sz w:val="22"/>
          <w:szCs w:val="22"/>
        </w:rPr>
        <w:t>), com cada acesso, data, horário e registro da finalidade, para efeito de responsabilização, em caso de eventuais omissões, desvios ou abusos.</w:t>
      </w:r>
    </w:p>
    <w:p w14:paraId="2A7EC43E">
      <w:pPr>
        <w:pStyle w:val="32"/>
        <w:numPr>
          <w:ilvl w:val="1"/>
          <w:numId w:val="14"/>
        </w:numPr>
        <w:tabs>
          <w:tab w:val="left" w:pos="993"/>
        </w:tabs>
        <w:spacing w:before="0" w:beforeAutospacing="0" w:after="0" w:afterAutospacing="0"/>
        <w:ind w:left="0" w:firstLine="567"/>
        <w:jc w:val="both"/>
        <w:rPr>
          <w:sz w:val="22"/>
          <w:szCs w:val="22"/>
        </w:rPr>
      </w:pPr>
      <w:r>
        <w:rPr>
          <w:sz w:val="22"/>
          <w:szCs w:val="22"/>
        </w:rPr>
        <w:t xml:space="preserve">Os referidos bancos de dados devem ser desenvolvidos em formato interoperável, a fim de garantir a reutilização desses dados pela Administração nas hipóteses previstas na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w:t>
      </w:r>
      <w:r>
        <w:rPr>
          <w:rStyle w:val="62"/>
          <w:sz w:val="22"/>
          <w:szCs w:val="22"/>
        </w:rPr>
        <w:fldChar w:fldCharType="end"/>
      </w:r>
      <w:r>
        <w:rPr>
          <w:sz w:val="22"/>
          <w:szCs w:val="22"/>
        </w:rPr>
        <w:t>.</w:t>
      </w:r>
    </w:p>
    <w:p w14:paraId="4E416892">
      <w:pPr>
        <w:pStyle w:val="32"/>
        <w:numPr>
          <w:ilvl w:val="1"/>
          <w:numId w:val="14"/>
        </w:numPr>
        <w:tabs>
          <w:tab w:val="left" w:pos="993"/>
        </w:tabs>
        <w:spacing w:before="0" w:beforeAutospacing="0" w:after="0" w:afterAutospacing="0"/>
        <w:ind w:left="0" w:firstLine="567"/>
        <w:jc w:val="both"/>
        <w:rPr>
          <w:sz w:val="22"/>
          <w:szCs w:val="22"/>
        </w:rPr>
      </w:pPr>
      <w:r>
        <w:rPr>
          <w:sz w:val="22"/>
          <w:szCs w:val="22"/>
        </w:rPr>
        <w:t xml:space="preserve">O contrato está sujeito a ser alterado nos procedimentos pertinentes ao tratamento de dados pessoais, quando indicado pela autoridade competente, em especial a ANPD por meio de opiniões técnicas ou recomendações, editadas na forma da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w:t>
      </w:r>
      <w:r>
        <w:rPr>
          <w:rStyle w:val="62"/>
          <w:sz w:val="22"/>
          <w:szCs w:val="22"/>
        </w:rPr>
        <w:fldChar w:fldCharType="end"/>
      </w:r>
      <w:r>
        <w:rPr>
          <w:sz w:val="22"/>
          <w:szCs w:val="22"/>
        </w:rPr>
        <w:t>.</w:t>
      </w:r>
    </w:p>
    <w:p w14:paraId="62E254CB">
      <w:pPr>
        <w:pStyle w:val="32"/>
        <w:numPr>
          <w:ilvl w:val="0"/>
          <w:numId w:val="0"/>
        </w:numPr>
        <w:tabs>
          <w:tab w:val="left" w:pos="993"/>
        </w:tabs>
        <w:spacing w:before="0" w:beforeAutospacing="0" w:after="0" w:afterAutospacing="0"/>
        <w:ind w:left="567" w:leftChars="0"/>
        <w:jc w:val="both"/>
        <w:rPr>
          <w:sz w:val="22"/>
          <w:szCs w:val="22"/>
        </w:rPr>
      </w:pPr>
    </w:p>
    <w:p w14:paraId="59BD39D4">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 xml:space="preserve">PRAZOS </w:t>
      </w:r>
      <w:r>
        <w:rPr>
          <w:rStyle w:val="16"/>
          <w:b w:val="0"/>
          <w:bCs w:val="0"/>
          <w:color w:val="000000"/>
          <w:sz w:val="22"/>
          <w:szCs w:val="22"/>
        </w:rPr>
        <w:t>(</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VII, da Lei Federal nº 14.133, de 2021</w:t>
      </w:r>
      <w:r>
        <w:rPr>
          <w:rStyle w:val="62"/>
          <w:sz w:val="22"/>
          <w:szCs w:val="22"/>
        </w:rPr>
        <w:fldChar w:fldCharType="end"/>
      </w:r>
      <w:r>
        <w:rPr>
          <w:rStyle w:val="16"/>
          <w:b w:val="0"/>
          <w:bCs w:val="0"/>
          <w:color w:val="000000"/>
          <w:sz w:val="22"/>
          <w:szCs w:val="22"/>
        </w:rPr>
        <w:t>)</w:t>
      </w:r>
    </w:p>
    <w:p w14:paraId="5C25A4A0">
      <w:pPr>
        <w:pStyle w:val="32"/>
        <w:keepNext w:val="0"/>
        <w:keepLines w:val="0"/>
        <w:widowControl/>
        <w:suppressLineNumbers w:val="0"/>
        <w:spacing w:before="0" w:beforeAutospacing="1" w:after="0" w:afterAutospacing="0" w:line="240" w:lineRule="auto"/>
        <w:ind w:left="0" w:right="0" w:firstLine="708" w:firstLineChars="0"/>
        <w:jc w:val="both"/>
        <w:rPr>
          <w:sz w:val="22"/>
          <w:szCs w:val="22"/>
        </w:rPr>
      </w:pPr>
      <w:r>
        <w:rPr>
          <w:rFonts w:hint="default"/>
          <w:b/>
          <w:bCs/>
          <w:color w:val="000000"/>
          <w:sz w:val="22"/>
          <w:szCs w:val="22"/>
          <w:lang w:val="pt-BR"/>
        </w:rPr>
        <w:t xml:space="preserve">9.1. </w:t>
      </w:r>
      <w:r>
        <w:rPr>
          <w:rFonts w:hint="default"/>
          <w:b w:val="0"/>
          <w:bCs w:val="0"/>
          <w:color w:val="000000"/>
          <w:sz w:val="22"/>
          <w:szCs w:val="22"/>
          <w:lang w:val="pt-BR"/>
        </w:rPr>
        <w:t xml:space="preserve">O </w:t>
      </w:r>
      <w:r>
        <w:rPr>
          <w:rFonts w:hint="default" w:ascii="Times New Roman" w:hAnsi="Times New Roman" w:cs="Times New Roman"/>
          <w:kern w:val="0"/>
          <w:sz w:val="24"/>
          <w:szCs w:val="24"/>
          <w:lang w:val="pt-BR" w:eastAsia="zh-CN" w:bidi="ar"/>
        </w:rPr>
        <w:t xml:space="preserve">prazo para entrega e instalação das estruturas deve ser de até 60 (sessenta) dias, a partir da solicitação da Câmara Municipal de Primavera do Leste Estado de Mato Grosso, podendo este prazo ser dobrado a critério da contratante, e devendo ser entregue e instalado na Câmara Municipal de Primavera do Leste – AV. Primavera n. 300 Bairro Primavera II, CEP. 78.850-000 – Estado de Mato Grosso, observando-se o horário de expediente, das 07h00minàs 13h00min, conforme consta no </w:t>
      </w:r>
      <w:r>
        <w:rPr>
          <w:rFonts w:hint="default" w:ascii="Times New Roman" w:hAnsi="Times New Roman" w:cs="Times New Roman"/>
          <w:b/>
          <w:bCs/>
          <w:kern w:val="0"/>
          <w:sz w:val="24"/>
          <w:szCs w:val="24"/>
          <w:lang w:val="pt-BR" w:eastAsia="zh-CN" w:bidi="ar"/>
        </w:rPr>
        <w:t>Termo de Referencia nº 42</w:t>
      </w:r>
      <w:r>
        <w:rPr>
          <w:rFonts w:hint="default" w:cs="Times New Roman"/>
          <w:b/>
          <w:bCs/>
          <w:kern w:val="0"/>
          <w:sz w:val="24"/>
          <w:szCs w:val="24"/>
          <w:lang w:val="pt-BR" w:eastAsia="zh-CN" w:bidi="ar"/>
        </w:rPr>
        <w:t xml:space="preserve"> </w:t>
      </w:r>
      <w:r>
        <w:rPr>
          <w:rFonts w:hint="default" w:ascii="Times New Roman" w:hAnsi="Times New Roman" w:cs="Times New Roman"/>
          <w:b/>
          <w:bCs/>
          <w:kern w:val="0"/>
          <w:sz w:val="24"/>
          <w:szCs w:val="24"/>
          <w:lang w:val="pt-BR" w:eastAsia="zh-CN" w:bidi="ar"/>
        </w:rPr>
        <w:t>- 2024</w:t>
      </w:r>
      <w:r>
        <w:rPr>
          <w:rFonts w:hint="default" w:ascii="Times New Roman" w:hAnsi="Times New Roman" w:cs="Times New Roman"/>
          <w:kern w:val="0"/>
          <w:sz w:val="24"/>
          <w:szCs w:val="24"/>
          <w:lang w:val="pt-BR" w:eastAsia="zh-CN" w:bidi="ar"/>
        </w:rPr>
        <w:t xml:space="preserve"> em seu “</w:t>
      </w:r>
      <w:r>
        <w:rPr>
          <w:rFonts w:hint="default" w:ascii="Times New Roman" w:hAnsi="Times New Roman" w:cs="Times New Roman"/>
          <w:b/>
          <w:bCs/>
          <w:kern w:val="0"/>
          <w:sz w:val="24"/>
          <w:szCs w:val="24"/>
          <w:lang w:val="pt-BR" w:eastAsia="zh-CN" w:bidi="ar"/>
        </w:rPr>
        <w:t>item 5.1.</w:t>
      </w:r>
      <w:r>
        <w:rPr>
          <w:rFonts w:hint="default" w:ascii="Times New Roman" w:hAnsi="Times New Roman" w:cs="Times New Roman"/>
          <w:kern w:val="0"/>
          <w:sz w:val="24"/>
          <w:szCs w:val="24"/>
          <w:lang w:val="pt-BR" w:eastAsia="zh-CN" w:bidi="ar"/>
        </w:rPr>
        <w:t>”,</w:t>
      </w:r>
      <w:r>
        <w:rPr>
          <w:rFonts w:hint="default" w:cs="Times New Roman"/>
          <w:kern w:val="0"/>
          <w:sz w:val="24"/>
          <w:szCs w:val="24"/>
          <w:lang w:val="pt-BR" w:eastAsia="zh-CN" w:bidi="ar"/>
        </w:rPr>
        <w:t xml:space="preserve"> </w:t>
      </w:r>
      <w:r>
        <w:rPr>
          <w:color w:val="000000"/>
          <w:sz w:val="22"/>
          <w:szCs w:val="22"/>
        </w:rPr>
        <w:t>salvo em caso fortuito ou de força maior (</w:t>
      </w:r>
      <w:r>
        <w:rPr>
          <w:sz w:val="22"/>
          <w:szCs w:val="22"/>
        </w:rPr>
        <w:fldChar w:fldCharType="begin"/>
      </w:r>
      <w:r>
        <w:rPr>
          <w:sz w:val="22"/>
          <w:szCs w:val="22"/>
        </w:rPr>
        <w:instrText xml:space="preserve"> HYPERLINK "https://www.planalto.gov.br/ccivil_03/leis/2002/l10406compilada.htm" \h </w:instrText>
      </w:r>
      <w:r>
        <w:rPr>
          <w:sz w:val="22"/>
          <w:szCs w:val="22"/>
        </w:rPr>
        <w:fldChar w:fldCharType="separate"/>
      </w:r>
      <w:r>
        <w:rPr>
          <w:rStyle w:val="62"/>
          <w:sz w:val="22"/>
          <w:szCs w:val="22"/>
        </w:rPr>
        <w:t>art. 393 da Lei Federal nº 10.406, de 2002</w:t>
      </w:r>
      <w:r>
        <w:rPr>
          <w:rStyle w:val="62"/>
          <w:sz w:val="22"/>
          <w:szCs w:val="22"/>
        </w:rPr>
        <w:fldChar w:fldCharType="end"/>
      </w:r>
      <w:r>
        <w:rPr>
          <w:color w:val="000000"/>
          <w:sz w:val="22"/>
          <w:szCs w:val="22"/>
        </w:rPr>
        <w:t>).</w:t>
      </w:r>
    </w:p>
    <w:p w14:paraId="68A467A0">
      <w:pPr>
        <w:pStyle w:val="32"/>
        <w:numPr>
          <w:ilvl w:val="0"/>
          <w:numId w:val="0"/>
        </w:numPr>
        <w:tabs>
          <w:tab w:val="left" w:pos="993"/>
        </w:tabs>
        <w:spacing w:before="0" w:beforeAutospacing="0" w:after="0" w:afterAutospacing="0"/>
        <w:ind w:left="567" w:leftChars="0"/>
        <w:jc w:val="both"/>
        <w:rPr>
          <w:sz w:val="22"/>
          <w:szCs w:val="22"/>
        </w:rPr>
      </w:pPr>
    </w:p>
    <w:p w14:paraId="5D92AEB2">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 xml:space="preserve">RECEBIMENTO DO OBJETO </w:t>
      </w:r>
      <w:r>
        <w:rPr>
          <w:rStyle w:val="16"/>
          <w:b w:val="0"/>
          <w:bCs w:val="0"/>
          <w:color w:val="000000"/>
          <w:sz w:val="22"/>
          <w:szCs w:val="22"/>
        </w:rPr>
        <w:t>(</w:t>
      </w:r>
      <w:r>
        <w:rPr>
          <w:sz w:val="22"/>
          <w:szCs w:val="22"/>
        </w:rPr>
        <w:fldChar w:fldCharType="begin"/>
      </w:r>
      <w:r>
        <w:rPr>
          <w:rStyle w:val="62"/>
          <w:sz w:val="22"/>
          <w:szCs w:val="22"/>
        </w:rPr>
        <w:instrText xml:space="preserve"> HYPERLINK "https://www.planalto.gov.br/ccivil_03/_ato2019-2022/2021/lei/l14133.htm" \l "art140"</w:instrText>
      </w:r>
      <w:r>
        <w:rPr>
          <w:rStyle w:val="62"/>
          <w:sz w:val="22"/>
          <w:szCs w:val="22"/>
        </w:rPr>
        <w:fldChar w:fldCharType="separate"/>
      </w:r>
      <w:r>
        <w:rPr>
          <w:rStyle w:val="62"/>
          <w:sz w:val="22"/>
          <w:szCs w:val="22"/>
        </w:rPr>
        <w:t>art. 140, I, da Lei Federal nº 14.133, de 2021</w:t>
      </w:r>
      <w:r>
        <w:rPr>
          <w:rStyle w:val="62"/>
          <w:sz w:val="22"/>
          <w:szCs w:val="22"/>
        </w:rPr>
        <w:fldChar w:fldCharType="end"/>
      </w:r>
      <w:r>
        <w:rPr>
          <w:rStyle w:val="16"/>
          <w:b w:val="0"/>
          <w:bCs w:val="0"/>
          <w:color w:val="000000"/>
          <w:sz w:val="22"/>
          <w:szCs w:val="22"/>
        </w:rPr>
        <w:t>)</w:t>
      </w:r>
    </w:p>
    <w:p w14:paraId="0E83BA01">
      <w:pPr>
        <w:pStyle w:val="32"/>
        <w:numPr>
          <w:ilvl w:val="1"/>
          <w:numId w:val="14"/>
        </w:numPr>
        <w:tabs>
          <w:tab w:val="left" w:pos="993"/>
        </w:tabs>
        <w:spacing w:before="0" w:beforeAutospacing="0" w:after="0" w:afterAutospacing="0"/>
        <w:ind w:left="0" w:firstLine="567"/>
        <w:jc w:val="both"/>
        <w:rPr>
          <w:color w:val="000000"/>
          <w:sz w:val="22"/>
          <w:szCs w:val="22"/>
        </w:rPr>
      </w:pPr>
      <w:r>
        <w:rPr>
          <w:color w:val="000000"/>
          <w:sz w:val="22"/>
          <w:szCs w:val="22"/>
        </w:rPr>
        <w:t xml:space="preserve">A entrega do(s) serviço(s) será(ão) realizada(s) preferencialmente de forma única por etapa, de acordo com a descrição dos serviços contida no </w:t>
      </w:r>
      <w:r>
        <w:rPr>
          <w:rStyle w:val="53"/>
          <w:color w:val="000000"/>
          <w:sz w:val="22"/>
          <w:szCs w:val="22"/>
        </w:rPr>
        <w:t>Termo de Referência</w:t>
      </w:r>
      <w:r>
        <w:rPr>
          <w:color w:val="000000"/>
          <w:sz w:val="22"/>
          <w:szCs w:val="22"/>
        </w:rPr>
        <w:t xml:space="preserve">, acompanhada de Nota Fiscal correspondente, a qual deverá ser preenchida com as especificações apresentadas neste Instrumento de Contrato e/ou no </w:t>
      </w:r>
      <w:r>
        <w:rPr>
          <w:rStyle w:val="53"/>
          <w:color w:val="000000"/>
          <w:sz w:val="22"/>
          <w:szCs w:val="22"/>
        </w:rPr>
        <w:t>Termo de Referência</w:t>
      </w:r>
      <w:r>
        <w:rPr>
          <w:color w:val="000000"/>
          <w:sz w:val="22"/>
          <w:szCs w:val="22"/>
        </w:rPr>
        <w:t>.</w:t>
      </w:r>
    </w:p>
    <w:p w14:paraId="0EB7912E">
      <w:pPr>
        <w:pStyle w:val="32"/>
        <w:keepNext w:val="0"/>
        <w:keepLines w:val="0"/>
        <w:pageBreakBefore w:val="0"/>
        <w:widowControl/>
        <w:numPr>
          <w:ilvl w:val="1"/>
          <w:numId w:val="14"/>
        </w:numPr>
        <w:tabs>
          <w:tab w:val="left" w:pos="993"/>
        </w:tabs>
        <w:kinsoku/>
        <w:wordWrap/>
        <w:overflowPunct/>
        <w:topLinePunct w:val="0"/>
        <w:autoSpaceDE/>
        <w:autoSpaceDN/>
        <w:bidi w:val="0"/>
        <w:adjustRightInd/>
        <w:snapToGrid/>
        <w:spacing w:before="0" w:beforeAutospacing="0" w:after="0" w:afterAutospacing="0" w:line="240" w:lineRule="auto"/>
        <w:ind w:left="0" w:firstLine="567"/>
        <w:jc w:val="both"/>
        <w:rPr>
          <w:color w:val="000000"/>
          <w:sz w:val="22"/>
          <w:szCs w:val="22"/>
        </w:rPr>
      </w:pPr>
      <w:r>
        <w:rPr>
          <w:color w:val="000000"/>
          <w:sz w:val="22"/>
          <w:szCs w:val="22"/>
        </w:rPr>
        <w:t xml:space="preserve"> entrega deverá ocorrer:</w:t>
      </w:r>
    </w:p>
    <w:p w14:paraId="2717CA4B">
      <w:pPr>
        <w:pStyle w:val="50"/>
        <w:keepNext w:val="0"/>
        <w:keepLines w:val="0"/>
        <w:pageBreakBefore w:val="0"/>
        <w:widowControl/>
        <w:numPr>
          <w:ilvl w:val="2"/>
          <w:numId w:val="1"/>
        </w:numPr>
        <w:tabs>
          <w:tab w:val="left" w:pos="1134"/>
          <w:tab w:val="clear" w:pos="0"/>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Endereço: </w:t>
      </w:r>
      <w:r>
        <w:rPr>
          <w:rFonts w:hint="default" w:ascii="Times New Roman" w:hAnsi="Times New Roman" w:eastAsia="Arial" w:cs="Times New Roman"/>
          <w:b/>
          <w:bCs/>
          <w:sz w:val="22"/>
          <w:szCs w:val="22"/>
          <w:highlight w:val="none"/>
          <w:lang w:val="pt-BR"/>
        </w:rPr>
        <w:t>Av. Primavera, nº 300, Bairro Primavera II</w:t>
      </w:r>
      <w:r>
        <w:rPr>
          <w:rFonts w:hint="default" w:ascii="Times New Roman" w:hAnsi="Times New Roman" w:cs="Times New Roman"/>
          <w:color w:val="000000"/>
          <w:sz w:val="22"/>
          <w:szCs w:val="22"/>
        </w:rPr>
        <w:t>;</w:t>
      </w:r>
    </w:p>
    <w:p w14:paraId="4B15D34B">
      <w:pPr>
        <w:pStyle w:val="50"/>
        <w:keepNext w:val="0"/>
        <w:keepLines w:val="0"/>
        <w:pageBreakBefore w:val="0"/>
        <w:widowControl/>
        <w:numPr>
          <w:ilvl w:val="2"/>
          <w:numId w:val="1"/>
        </w:numPr>
        <w:tabs>
          <w:tab w:val="left" w:pos="1134"/>
          <w:tab w:val="clear" w:pos="0"/>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Responsável:</w:t>
      </w:r>
      <w:r>
        <w:rPr>
          <w:rFonts w:hint="default" w:ascii="Times New Roman" w:hAnsi="Times New Roman" w:cs="Times New Roman"/>
          <w:b/>
          <w:bCs/>
          <w:color w:val="000000"/>
          <w:sz w:val="22"/>
          <w:szCs w:val="22"/>
          <w:lang w:val="pt-BR"/>
        </w:rPr>
        <w:t xml:space="preserve"> Fiscal de Contrato designados por Ato Formal</w:t>
      </w:r>
      <w:r>
        <w:rPr>
          <w:rFonts w:hint="default" w:ascii="Times New Roman" w:hAnsi="Times New Roman" w:cs="Times New Roman"/>
          <w:color w:val="000000"/>
          <w:sz w:val="22"/>
          <w:szCs w:val="22"/>
        </w:rPr>
        <w:t>;</w:t>
      </w:r>
    </w:p>
    <w:p w14:paraId="2A0E7540">
      <w:pPr>
        <w:pStyle w:val="50"/>
        <w:keepNext w:val="0"/>
        <w:keepLines w:val="0"/>
        <w:pageBreakBefore w:val="0"/>
        <w:widowControl/>
        <w:numPr>
          <w:ilvl w:val="2"/>
          <w:numId w:val="1"/>
        </w:numPr>
        <w:tabs>
          <w:tab w:val="left" w:pos="1134"/>
          <w:tab w:val="clear" w:pos="0"/>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Telefone:</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(66) 3498-3590</w:t>
      </w:r>
      <w:r>
        <w:rPr>
          <w:rFonts w:hint="default" w:ascii="Times New Roman" w:hAnsi="Times New Roman" w:cs="Times New Roman"/>
          <w:color w:val="000000"/>
          <w:sz w:val="22"/>
          <w:szCs w:val="22"/>
        </w:rPr>
        <w:t>;</w:t>
      </w:r>
    </w:p>
    <w:p w14:paraId="5EEFE73E">
      <w:pPr>
        <w:pStyle w:val="50"/>
        <w:keepNext w:val="0"/>
        <w:keepLines w:val="0"/>
        <w:pageBreakBefore w:val="0"/>
        <w:widowControl/>
        <w:numPr>
          <w:ilvl w:val="2"/>
          <w:numId w:val="1"/>
        </w:numPr>
        <w:tabs>
          <w:tab w:val="left" w:pos="1134"/>
          <w:tab w:val="clear" w:pos="0"/>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E-mail:</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licitacao@primaveradoleste.mt.leg.br</w:t>
      </w:r>
      <w:r>
        <w:rPr>
          <w:rFonts w:hint="default" w:ascii="Times New Roman" w:hAnsi="Times New Roman" w:cs="Times New Roman"/>
          <w:color w:val="000000"/>
          <w:sz w:val="22"/>
          <w:szCs w:val="22"/>
        </w:rPr>
        <w:t>;</w:t>
      </w:r>
    </w:p>
    <w:p w14:paraId="1F2DEFB8">
      <w:pPr>
        <w:pStyle w:val="50"/>
        <w:keepNext w:val="0"/>
        <w:keepLines w:val="0"/>
        <w:pageBreakBefore w:val="0"/>
        <w:widowControl/>
        <w:numPr>
          <w:ilvl w:val="2"/>
          <w:numId w:val="1"/>
        </w:numPr>
        <w:tabs>
          <w:tab w:val="left" w:pos="1134"/>
          <w:tab w:val="clear" w:pos="0"/>
        </w:tabs>
        <w:kinsoku/>
        <w:wordWrap/>
        <w:overflowPunct/>
        <w:topLinePunct w:val="0"/>
        <w:autoSpaceDE/>
        <w:autoSpaceDN/>
        <w:bidi w:val="0"/>
        <w:adjustRightInd/>
        <w:snapToGrid/>
        <w:spacing w:before="0" w:beforeAutospacing="0" w:after="0" w:afterAutospacing="0" w:line="240" w:lineRule="auto"/>
        <w:jc w:val="both"/>
        <w:textAlignment w:val="baseline"/>
        <w:rPr>
          <w:rFonts w:ascii="Times New Roman" w:hAnsi="Times New Roman"/>
          <w:sz w:val="22"/>
          <w:szCs w:val="22"/>
        </w:rPr>
      </w:pPr>
      <w:r>
        <w:rPr>
          <w:rFonts w:hint="default" w:ascii="Times New Roman" w:hAnsi="Times New Roman" w:cs="Times New Roman"/>
          <w:color w:val="000000"/>
          <w:sz w:val="22"/>
          <w:szCs w:val="22"/>
        </w:rPr>
        <w:t>Horário de Funcionamento:</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07:00 às 13:00</w:t>
      </w:r>
      <w:r>
        <w:rPr>
          <w:rFonts w:hint="default" w:ascii="Times New Roman" w:hAnsi="Times New Roman" w:cs="Times New Roman"/>
          <w:color w:val="000000"/>
          <w:sz w:val="22"/>
          <w:szCs w:val="22"/>
          <w:lang w:val="pt-BR"/>
        </w:rPr>
        <w:t xml:space="preserve"> </w:t>
      </w:r>
      <w:r>
        <w:rPr>
          <w:rFonts w:hint="default" w:ascii="Times New Roman" w:hAnsi="Times New Roman" w:cs="Times New Roman"/>
          <w:color w:val="000000"/>
          <w:sz w:val="22"/>
          <w:szCs w:val="22"/>
        </w:rPr>
        <w:t>no horário oficial de Mato Grosso (GMT -04:00);</w:t>
      </w:r>
    </w:p>
    <w:p w14:paraId="7D7BF141">
      <w:pPr>
        <w:pStyle w:val="32"/>
        <w:numPr>
          <w:ilvl w:val="1"/>
          <w:numId w:val="14"/>
        </w:numPr>
        <w:tabs>
          <w:tab w:val="left" w:pos="993"/>
        </w:tabs>
        <w:spacing w:before="120" w:beforeAutospacing="0" w:after="0" w:afterAutospacing="0"/>
        <w:ind w:left="0" w:firstLine="567"/>
        <w:jc w:val="both"/>
        <w:rPr>
          <w:sz w:val="22"/>
          <w:szCs w:val="22"/>
        </w:rPr>
      </w:pPr>
      <w:r>
        <w:rPr>
          <w:color w:val="000000"/>
          <w:sz w:val="22"/>
          <w:szCs w:val="22"/>
        </w:rPr>
        <w:t xml:space="preserve">O prazo de entrega será conforme cronograma indicado anteriormente, salvo se prazo maior houver sido previsto no </w:t>
      </w:r>
      <w:r>
        <w:rPr>
          <w:rStyle w:val="53"/>
          <w:color w:val="000000"/>
          <w:sz w:val="22"/>
          <w:szCs w:val="22"/>
        </w:rPr>
        <w:t>Termo de Referência</w:t>
      </w:r>
      <w:r>
        <w:rPr>
          <w:color w:val="000000"/>
          <w:sz w:val="22"/>
          <w:szCs w:val="22"/>
        </w:rPr>
        <w:t>.</w:t>
      </w:r>
    </w:p>
    <w:p w14:paraId="495BCD42">
      <w:pPr>
        <w:pStyle w:val="32"/>
        <w:numPr>
          <w:ilvl w:val="1"/>
          <w:numId w:val="14"/>
        </w:numPr>
        <w:tabs>
          <w:tab w:val="left" w:pos="993"/>
        </w:tabs>
        <w:spacing w:before="0" w:beforeAutospacing="0" w:after="120" w:afterAutospacing="0"/>
        <w:ind w:left="0" w:firstLine="567"/>
        <w:jc w:val="both"/>
        <w:rPr>
          <w:sz w:val="22"/>
          <w:szCs w:val="22"/>
        </w:rPr>
      </w:pPr>
      <w:r>
        <w:rPr>
          <w:color w:val="000000"/>
          <w:sz w:val="22"/>
          <w:szCs w:val="22"/>
        </w:rPr>
        <w:t>Após a execução, o objeto do contrato será recebido (</w:t>
      </w:r>
      <w:r>
        <w:rPr>
          <w:sz w:val="22"/>
          <w:szCs w:val="22"/>
        </w:rPr>
        <w:fldChar w:fldCharType="begin"/>
      </w:r>
      <w:r>
        <w:rPr>
          <w:rStyle w:val="62"/>
          <w:sz w:val="22"/>
          <w:szCs w:val="22"/>
        </w:rPr>
        <w:instrText xml:space="preserve"> HYPERLINK "https://www.planalto.gov.br/ccivil_03/_ato2019-2022/2021/lei/l14133.htm" \l "art140"</w:instrText>
      </w:r>
      <w:r>
        <w:rPr>
          <w:rStyle w:val="62"/>
          <w:sz w:val="22"/>
          <w:szCs w:val="22"/>
        </w:rPr>
        <w:fldChar w:fldCharType="separate"/>
      </w:r>
      <w:r>
        <w:rPr>
          <w:rStyle w:val="62"/>
          <w:sz w:val="22"/>
          <w:szCs w:val="22"/>
        </w:rPr>
        <w:t>art. 140, I, da Lei Federal nº 14.133, de 2021</w:t>
      </w:r>
      <w:r>
        <w:rPr>
          <w:rStyle w:val="62"/>
          <w:sz w:val="22"/>
          <w:szCs w:val="22"/>
        </w:rPr>
        <w:fldChar w:fldCharType="end"/>
      </w:r>
      <w:r>
        <w:rPr>
          <w:color w:val="000000"/>
          <w:sz w:val="22"/>
          <w:szCs w:val="22"/>
        </w:rPr>
        <w:t>):</w:t>
      </w:r>
    </w:p>
    <w:p w14:paraId="1D7739DF">
      <w:pPr>
        <w:pStyle w:val="50"/>
        <w:numPr>
          <w:ilvl w:val="2"/>
          <w:numId w:val="15"/>
        </w:numPr>
        <w:tabs>
          <w:tab w:val="left" w:pos="0"/>
          <w:tab w:val="left" w:pos="1134"/>
        </w:tabs>
        <w:spacing w:before="120" w:beforeAutospacing="0" w:after="120" w:afterAutospacing="0"/>
        <w:jc w:val="both"/>
        <w:textAlignment w:val="baseline"/>
        <w:rPr>
          <w:sz w:val="22"/>
          <w:szCs w:val="22"/>
        </w:rPr>
      </w:pPr>
      <w:r>
        <w:rPr>
          <w:color w:val="000000"/>
          <w:sz w:val="22"/>
          <w:szCs w:val="22"/>
        </w:rPr>
        <w:t>provisoriamente, pelo responsável por seu acompanhamento e fiscalização, mediante termo detalhado, quando verificado o cumprimento das exigências de caráter técnico (</w:t>
      </w:r>
      <w:r>
        <w:rPr>
          <w:sz w:val="22"/>
          <w:szCs w:val="22"/>
        </w:rPr>
        <w:fldChar w:fldCharType="begin"/>
      </w:r>
      <w:r>
        <w:rPr>
          <w:rStyle w:val="62"/>
          <w:sz w:val="22"/>
          <w:szCs w:val="22"/>
        </w:rPr>
        <w:instrText xml:space="preserve"> HYPERLINK "https://www.planalto.gov.br/ccivil_03/_ato2019-2022/2021/lei/l14133.htm" \l "art140"</w:instrText>
      </w:r>
      <w:r>
        <w:rPr>
          <w:rStyle w:val="62"/>
          <w:sz w:val="22"/>
          <w:szCs w:val="22"/>
        </w:rPr>
        <w:fldChar w:fldCharType="separate"/>
      </w:r>
      <w:r>
        <w:rPr>
          <w:rStyle w:val="62"/>
          <w:sz w:val="22"/>
          <w:szCs w:val="22"/>
        </w:rPr>
        <w:t>art. 140, I, “a”, da Lei Federal nº 14.133, de 2021</w:t>
      </w:r>
      <w:r>
        <w:rPr>
          <w:rStyle w:val="62"/>
          <w:sz w:val="22"/>
          <w:szCs w:val="22"/>
        </w:rPr>
        <w:fldChar w:fldCharType="end"/>
      </w:r>
      <w:r>
        <w:rPr>
          <w:color w:val="000000"/>
          <w:sz w:val="22"/>
          <w:szCs w:val="22"/>
        </w:rPr>
        <w:t xml:space="preserve">); e </w:t>
      </w:r>
    </w:p>
    <w:p w14:paraId="5CAC29FE">
      <w:pPr>
        <w:pStyle w:val="50"/>
        <w:numPr>
          <w:ilvl w:val="2"/>
          <w:numId w:val="1"/>
        </w:numPr>
        <w:tabs>
          <w:tab w:val="left" w:pos="1134"/>
        </w:tabs>
        <w:spacing w:before="120" w:beforeAutospacing="0" w:after="120" w:afterAutospacing="0"/>
        <w:jc w:val="both"/>
        <w:textAlignment w:val="baseline"/>
        <w:rPr>
          <w:sz w:val="22"/>
          <w:szCs w:val="22"/>
        </w:rPr>
      </w:pPr>
      <w:r>
        <w:rPr>
          <w:color w:val="000000"/>
          <w:sz w:val="22"/>
          <w:szCs w:val="22"/>
        </w:rPr>
        <w:t>definitivamente, por servidor ou comissão designada pela autoridade competente, mediante termo detalhado que comprove o atendimento das exigências contratuais (</w:t>
      </w:r>
      <w:r>
        <w:rPr>
          <w:sz w:val="22"/>
          <w:szCs w:val="22"/>
        </w:rPr>
        <w:fldChar w:fldCharType="begin"/>
      </w:r>
      <w:r>
        <w:rPr>
          <w:rStyle w:val="62"/>
          <w:sz w:val="22"/>
          <w:szCs w:val="22"/>
        </w:rPr>
        <w:instrText xml:space="preserve"> HYPERLINK "https://www.planalto.gov.br/ccivil_03/_ato2019-2022/2021/lei/l14133.htm" \l "art140"</w:instrText>
      </w:r>
      <w:r>
        <w:rPr>
          <w:rStyle w:val="62"/>
          <w:sz w:val="22"/>
          <w:szCs w:val="22"/>
        </w:rPr>
        <w:fldChar w:fldCharType="separate"/>
      </w:r>
      <w:r>
        <w:rPr>
          <w:rStyle w:val="62"/>
          <w:sz w:val="22"/>
          <w:szCs w:val="22"/>
        </w:rPr>
        <w:t>art. 140, I, “b”, da Lei Federal nº 14.133, de 2021</w:t>
      </w:r>
      <w:r>
        <w:rPr>
          <w:rStyle w:val="62"/>
          <w:sz w:val="22"/>
          <w:szCs w:val="22"/>
        </w:rPr>
        <w:fldChar w:fldCharType="end"/>
      </w:r>
      <w:r>
        <w:rPr>
          <w:color w:val="000000"/>
          <w:sz w:val="22"/>
          <w:szCs w:val="22"/>
        </w:rPr>
        <w:t>).</w:t>
      </w:r>
    </w:p>
    <w:p w14:paraId="4EC02BB3">
      <w:pPr>
        <w:pStyle w:val="32"/>
        <w:numPr>
          <w:ilvl w:val="0"/>
          <w:numId w:val="14"/>
        </w:numPr>
        <w:pBdr>
          <w:bottom w:val="single" w:color="000000" w:themeColor="dark1" w:sz="4" w:space="1"/>
        </w:pBdr>
        <w:shd w:val="clear" w:color="auto" w:fill="BEBEBE" w:themeFill="background1" w:themeFillShade="BF"/>
        <w:spacing w:before="360" w:beforeAutospacing="0" w:after="0" w:afterAutospacing="0"/>
        <w:jc w:val="both"/>
        <w:rPr>
          <w:sz w:val="22"/>
          <w:szCs w:val="22"/>
        </w:rPr>
      </w:pPr>
      <w:r>
        <w:rPr>
          <w:rStyle w:val="16"/>
          <w:color w:val="000000"/>
          <w:sz w:val="22"/>
          <w:szCs w:val="22"/>
        </w:rPr>
        <w:t>DOTAÇÃO ORÇAMENTÁRIA</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VIII</w:t>
      </w:r>
      <w:r>
        <w:rPr>
          <w:rStyle w:val="62"/>
          <w:sz w:val="22"/>
          <w:szCs w:val="22"/>
        </w:rPr>
        <w:fldChar w:fldCharType="end"/>
      </w:r>
      <w:r>
        <w:rPr>
          <w:rStyle w:val="62"/>
          <w:sz w:val="22"/>
          <w:szCs w:val="22"/>
        </w:rPr>
        <w:t>, da Lei Federal nº 14.133, de 2021</w:t>
      </w:r>
      <w:r>
        <w:rPr>
          <w:sz w:val="22"/>
          <w:szCs w:val="22"/>
        </w:rPr>
        <w:t>)</w:t>
      </w:r>
    </w:p>
    <w:p w14:paraId="72766D11">
      <w:pPr>
        <w:pStyle w:val="32"/>
        <w:tabs>
          <w:tab w:val="left" w:pos="993"/>
        </w:tabs>
        <w:spacing w:before="0" w:beforeAutospacing="0" w:after="0" w:afterAutospacing="0"/>
        <w:ind w:left="0" w:firstLine="0"/>
        <w:jc w:val="both"/>
        <w:rPr>
          <w:rFonts w:cs="Arial"/>
          <w:color w:val="000000"/>
          <w:sz w:val="22"/>
          <w:szCs w:val="22"/>
        </w:rPr>
      </w:pPr>
      <w:r>
        <w:rPr>
          <w:rFonts w:cs="Arial"/>
          <w:b/>
          <w:bCs/>
          <w:color w:val="000000"/>
          <w:sz w:val="22"/>
          <w:szCs w:val="22"/>
        </w:rPr>
        <w:t xml:space="preserve">11.1 </w:t>
      </w:r>
      <w:r>
        <w:rPr>
          <w:rFonts w:cs="Arial"/>
          <w:color w:val="000000"/>
          <w:sz w:val="22"/>
          <w:szCs w:val="22"/>
        </w:rPr>
        <w:t>As despesas oriundas da presente aquisição correrão por conta de recursos próprios específicos consignados no orçamento da Câmara Municipal de Primavera do Leste nas dotações orçamentárias relacionadas abaixo:</w:t>
      </w:r>
    </w:p>
    <w:p w14:paraId="4B5387AE">
      <w:pPr>
        <w:pStyle w:val="50"/>
        <w:numPr>
          <w:ilvl w:val="0"/>
          <w:numId w:val="0"/>
        </w:numPr>
        <w:tabs>
          <w:tab w:val="left" w:pos="1134"/>
        </w:tabs>
        <w:spacing w:before="120" w:beforeAutospacing="0" w:after="0" w:afterAutospacing="0"/>
        <w:jc w:val="both"/>
        <w:textAlignment w:val="baseline"/>
        <w:rPr>
          <w:rFonts w:hint="default" w:ascii="Times New Roman" w:hAnsi="Times New Roman" w:cs="Times New Roman"/>
          <w:sz w:val="22"/>
          <w:szCs w:val="22"/>
        </w:rPr>
      </w:pPr>
    </w:p>
    <w:tbl>
      <w:tblPr>
        <w:tblStyle w:val="14"/>
        <w:tblW w:w="0" w:type="auto"/>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5" w:type="dxa"/>
          <w:left w:w="55" w:type="dxa"/>
          <w:bottom w:w="55" w:type="dxa"/>
          <w:right w:w="55" w:type="dxa"/>
        </w:tblCellMar>
      </w:tblPr>
      <w:tblGrid>
        <w:gridCol w:w="2160"/>
        <w:gridCol w:w="2657"/>
        <w:gridCol w:w="4256"/>
      </w:tblGrid>
      <w:tr w14:paraId="002C3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60" w:type="dxa"/>
            <w:tcBorders>
              <w:tl2br w:val="nil"/>
              <w:tr2bl w:val="nil"/>
            </w:tcBorders>
            <w:shd w:val="clear" w:color="auto" w:fill="auto"/>
            <w:noWrap w:val="0"/>
            <w:vAlign w:val="top"/>
          </w:tcPr>
          <w:p w14:paraId="19443181">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Órgão</w:t>
            </w:r>
          </w:p>
        </w:tc>
        <w:tc>
          <w:tcPr>
            <w:tcW w:w="2657" w:type="dxa"/>
            <w:tcBorders>
              <w:tl2br w:val="nil"/>
              <w:tr2bl w:val="nil"/>
            </w:tcBorders>
            <w:shd w:val="clear" w:color="auto" w:fill="auto"/>
            <w:noWrap w:val="0"/>
            <w:vAlign w:val="top"/>
          </w:tcPr>
          <w:p w14:paraId="229D1A37">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w:t>
            </w:r>
          </w:p>
        </w:tc>
        <w:tc>
          <w:tcPr>
            <w:tcW w:w="4256" w:type="dxa"/>
            <w:tcBorders>
              <w:tl2br w:val="nil"/>
              <w:tr2bl w:val="nil"/>
            </w:tcBorders>
            <w:shd w:val="clear" w:color="auto" w:fill="auto"/>
            <w:noWrap w:val="0"/>
            <w:vAlign w:val="top"/>
          </w:tcPr>
          <w:p w14:paraId="4D9D8B06">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CÂMARA MUNICIPAL</w:t>
            </w:r>
          </w:p>
        </w:tc>
      </w:tr>
      <w:tr w14:paraId="346C4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60" w:type="dxa"/>
            <w:tcBorders>
              <w:tl2br w:val="nil"/>
              <w:tr2bl w:val="nil"/>
            </w:tcBorders>
            <w:shd w:val="clear" w:color="auto" w:fill="auto"/>
            <w:noWrap w:val="0"/>
            <w:vAlign w:val="top"/>
          </w:tcPr>
          <w:p w14:paraId="389301AE">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 Orçamentária</w:t>
            </w:r>
          </w:p>
        </w:tc>
        <w:tc>
          <w:tcPr>
            <w:tcW w:w="2657" w:type="dxa"/>
            <w:tcBorders>
              <w:tl2br w:val="nil"/>
              <w:tr2bl w:val="nil"/>
            </w:tcBorders>
            <w:shd w:val="clear" w:color="auto" w:fill="auto"/>
            <w:noWrap w:val="0"/>
            <w:vAlign w:val="top"/>
          </w:tcPr>
          <w:p w14:paraId="0781163B">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01.00.01</w:t>
            </w:r>
          </w:p>
        </w:tc>
        <w:tc>
          <w:tcPr>
            <w:tcW w:w="4256" w:type="dxa"/>
            <w:tcBorders>
              <w:tl2br w:val="nil"/>
              <w:tr2bl w:val="nil"/>
            </w:tcBorders>
            <w:shd w:val="clear" w:color="auto" w:fill="auto"/>
            <w:noWrap w:val="0"/>
            <w:vAlign w:val="top"/>
          </w:tcPr>
          <w:p w14:paraId="590D8EF8">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14:paraId="30E7E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60" w:type="dxa"/>
            <w:tcBorders>
              <w:tl2br w:val="nil"/>
              <w:tr2bl w:val="nil"/>
            </w:tcBorders>
            <w:shd w:val="clear" w:color="auto" w:fill="auto"/>
            <w:noWrap w:val="0"/>
            <w:vAlign w:val="top"/>
          </w:tcPr>
          <w:p w14:paraId="17961E58">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Unidade Executora</w:t>
            </w:r>
          </w:p>
        </w:tc>
        <w:tc>
          <w:tcPr>
            <w:tcW w:w="2657" w:type="dxa"/>
            <w:tcBorders>
              <w:tl2br w:val="nil"/>
              <w:tr2bl w:val="nil"/>
            </w:tcBorders>
            <w:shd w:val="clear" w:color="auto" w:fill="auto"/>
            <w:noWrap w:val="0"/>
            <w:vAlign w:val="top"/>
          </w:tcPr>
          <w:p w14:paraId="695E7981">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01.001</w:t>
            </w:r>
          </w:p>
        </w:tc>
        <w:tc>
          <w:tcPr>
            <w:tcW w:w="4256" w:type="dxa"/>
            <w:tcBorders>
              <w:tl2br w:val="nil"/>
              <w:tr2bl w:val="nil"/>
            </w:tcBorders>
            <w:shd w:val="clear" w:color="auto" w:fill="auto"/>
            <w:noWrap w:val="0"/>
            <w:vAlign w:val="top"/>
          </w:tcPr>
          <w:p w14:paraId="172A76F7">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14:paraId="4838C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60" w:type="dxa"/>
            <w:tcBorders>
              <w:tl2br w:val="nil"/>
              <w:tr2bl w:val="nil"/>
            </w:tcBorders>
            <w:shd w:val="clear" w:color="auto" w:fill="auto"/>
            <w:noWrap w:val="0"/>
            <w:vAlign w:val="top"/>
          </w:tcPr>
          <w:p w14:paraId="22699E04">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Função programática</w:t>
            </w:r>
          </w:p>
        </w:tc>
        <w:tc>
          <w:tcPr>
            <w:tcW w:w="2657" w:type="dxa"/>
            <w:tcBorders>
              <w:tl2br w:val="nil"/>
              <w:tr2bl w:val="nil"/>
            </w:tcBorders>
            <w:shd w:val="clear" w:color="auto" w:fill="auto"/>
            <w:noWrap w:val="0"/>
            <w:vAlign w:val="top"/>
          </w:tcPr>
          <w:p w14:paraId="56E1BB9E">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01.031.0001-2.003</w:t>
            </w:r>
          </w:p>
        </w:tc>
        <w:tc>
          <w:tcPr>
            <w:tcW w:w="4256" w:type="dxa"/>
            <w:tcBorders>
              <w:tl2br w:val="nil"/>
              <w:tr2bl w:val="nil"/>
            </w:tcBorders>
            <w:shd w:val="clear" w:color="auto" w:fill="auto"/>
            <w:noWrap w:val="0"/>
            <w:vAlign w:val="top"/>
          </w:tcPr>
          <w:p w14:paraId="4CBEB663">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MANUTENÇÃO DA AÇÃO LEGISLATIVA</w:t>
            </w:r>
          </w:p>
        </w:tc>
      </w:tr>
      <w:tr w14:paraId="5AC37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2160" w:type="dxa"/>
            <w:tcBorders>
              <w:tl2br w:val="nil"/>
              <w:tr2bl w:val="nil"/>
            </w:tcBorders>
            <w:shd w:val="clear" w:color="auto" w:fill="auto"/>
            <w:noWrap w:val="0"/>
            <w:vAlign w:val="top"/>
          </w:tcPr>
          <w:p w14:paraId="32D85F92">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Elemento</w:t>
            </w:r>
          </w:p>
        </w:tc>
        <w:tc>
          <w:tcPr>
            <w:tcW w:w="2657" w:type="dxa"/>
            <w:tcBorders>
              <w:tl2br w:val="nil"/>
              <w:tr2bl w:val="nil"/>
            </w:tcBorders>
            <w:shd w:val="clear" w:color="auto" w:fill="auto"/>
            <w:noWrap w:val="0"/>
            <w:vAlign w:val="top"/>
          </w:tcPr>
          <w:p w14:paraId="697731EC">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3.3.90.39.00</w:t>
            </w:r>
          </w:p>
        </w:tc>
        <w:tc>
          <w:tcPr>
            <w:tcW w:w="4256" w:type="dxa"/>
            <w:tcBorders>
              <w:tl2br w:val="nil"/>
              <w:tr2bl w:val="nil"/>
            </w:tcBorders>
            <w:shd w:val="clear" w:color="auto" w:fill="auto"/>
            <w:noWrap w:val="0"/>
            <w:vAlign w:val="top"/>
          </w:tcPr>
          <w:p w14:paraId="1A241AF8">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OUTROS SERVIÇOS DE TERCEIROS – PESSOA JURÍDICA</w:t>
            </w:r>
          </w:p>
        </w:tc>
      </w:tr>
    </w:tbl>
    <w:p w14:paraId="78F34256">
      <w:pPr>
        <w:pStyle w:val="32"/>
        <w:keepNext w:val="0"/>
        <w:keepLines w:val="0"/>
        <w:widowControl/>
        <w:suppressLineNumbers w:val="0"/>
        <w:spacing w:before="0" w:beforeAutospacing="1" w:after="0" w:afterAutospacing="0" w:line="240" w:lineRule="auto"/>
        <w:ind w:left="0" w:right="0"/>
        <w:jc w:val="both"/>
        <w:rPr>
          <w:rFonts w:hint="default" w:ascii="Times New Roman" w:hAnsi="Times New Roman" w:cs="Times New Roman"/>
          <w:sz w:val="22"/>
          <w:szCs w:val="22"/>
        </w:rPr>
      </w:pPr>
    </w:p>
    <w:tbl>
      <w:tblPr>
        <w:tblStyle w:val="14"/>
        <w:tblW w:w="9015"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60" w:type="dxa"/>
          <w:left w:w="60" w:type="dxa"/>
          <w:bottom w:w="60" w:type="dxa"/>
          <w:right w:w="60" w:type="dxa"/>
        </w:tblCellMar>
      </w:tblPr>
      <w:tblGrid>
        <w:gridCol w:w="2410"/>
        <w:gridCol w:w="2301"/>
        <w:gridCol w:w="4304"/>
      </w:tblGrid>
      <w:tr w14:paraId="025D8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2310" w:type="dxa"/>
            <w:tcBorders>
              <w:top w:val="single" w:color="000000" w:sz="6" w:space="0"/>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296CDDBB">
            <w:pPr>
              <w:pStyle w:val="32"/>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b/>
                <w:bCs/>
                <w:sz w:val="22"/>
                <w:szCs w:val="22"/>
              </w:rPr>
              <w:t>Órgão</w:t>
            </w:r>
          </w:p>
        </w:tc>
        <w:tc>
          <w:tcPr>
            <w:tcW w:w="2205" w:type="dxa"/>
            <w:tcBorders>
              <w:top w:val="single" w:color="000000" w:sz="6" w:space="0"/>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572FB630">
            <w:pPr>
              <w:pStyle w:val="32"/>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b/>
                <w:bCs/>
                <w:sz w:val="22"/>
                <w:szCs w:val="22"/>
              </w:rPr>
              <w:t>01</w:t>
            </w:r>
          </w:p>
        </w:tc>
        <w:tc>
          <w:tcPr>
            <w:tcW w:w="4125"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FE48BC4">
            <w:pPr>
              <w:pStyle w:val="32"/>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b/>
                <w:bCs/>
                <w:sz w:val="22"/>
                <w:szCs w:val="22"/>
              </w:rPr>
              <w:t>CÂMARA MUNICIPAL</w:t>
            </w:r>
          </w:p>
        </w:tc>
      </w:tr>
      <w:tr w14:paraId="58170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231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5E04E6D0">
            <w:pPr>
              <w:pStyle w:val="32"/>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Unidade Orçamentária</w:t>
            </w:r>
          </w:p>
        </w:tc>
        <w:tc>
          <w:tcPr>
            <w:tcW w:w="220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4B6F75D1">
            <w:pPr>
              <w:pStyle w:val="32"/>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01.00.01</w:t>
            </w:r>
          </w:p>
        </w:tc>
        <w:tc>
          <w:tcPr>
            <w:tcW w:w="41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6EAF75D">
            <w:pPr>
              <w:pStyle w:val="32"/>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14:paraId="604C0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231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1233CBEC">
            <w:pPr>
              <w:pStyle w:val="32"/>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Unidade Executora</w:t>
            </w:r>
          </w:p>
        </w:tc>
        <w:tc>
          <w:tcPr>
            <w:tcW w:w="220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34241A40">
            <w:pPr>
              <w:pStyle w:val="32"/>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01.001</w:t>
            </w:r>
          </w:p>
        </w:tc>
        <w:tc>
          <w:tcPr>
            <w:tcW w:w="41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A5DD660">
            <w:pPr>
              <w:pStyle w:val="32"/>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14:paraId="08388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231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61E452FF">
            <w:pPr>
              <w:pStyle w:val="32"/>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Função programática</w:t>
            </w:r>
          </w:p>
        </w:tc>
        <w:tc>
          <w:tcPr>
            <w:tcW w:w="220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77F06736">
            <w:pPr>
              <w:pStyle w:val="32"/>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01.031.001-2.001</w:t>
            </w:r>
          </w:p>
        </w:tc>
        <w:tc>
          <w:tcPr>
            <w:tcW w:w="41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8C0FDE8">
            <w:pPr>
              <w:pStyle w:val="32"/>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MANUTENÇÃO DEPARTAMENTO ADMINISTRATIVO DA CÂMARA MUNICIPAL</w:t>
            </w:r>
          </w:p>
        </w:tc>
      </w:tr>
      <w:tr w14:paraId="0B3B2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60" w:type="dxa"/>
            <w:bottom w:w="60" w:type="dxa"/>
            <w:right w:w="60" w:type="dxa"/>
          </w:tblCellMar>
        </w:tblPrEx>
        <w:trPr>
          <w:tblCellSpacing w:w="0" w:type="dxa"/>
        </w:trPr>
        <w:tc>
          <w:tcPr>
            <w:tcW w:w="231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001CF4E7">
            <w:pPr>
              <w:pStyle w:val="32"/>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Elemento</w:t>
            </w:r>
          </w:p>
        </w:tc>
        <w:tc>
          <w:tcPr>
            <w:tcW w:w="220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14:paraId="455A3AA8">
            <w:pPr>
              <w:pStyle w:val="32"/>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0009.3.3.90.30.00-1500</w:t>
            </w:r>
          </w:p>
        </w:tc>
        <w:tc>
          <w:tcPr>
            <w:tcW w:w="41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83A4A5B">
            <w:pPr>
              <w:pStyle w:val="32"/>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MATERIAL DE CONSUMO</w:t>
            </w:r>
          </w:p>
        </w:tc>
      </w:tr>
    </w:tbl>
    <w:p w14:paraId="5469DAC1">
      <w:pPr>
        <w:pStyle w:val="32"/>
        <w:tabs>
          <w:tab w:val="left" w:pos="993"/>
        </w:tabs>
        <w:spacing w:before="0" w:beforeAutospacing="0" w:after="0" w:afterAutospacing="0"/>
        <w:ind w:left="0" w:firstLine="0"/>
        <w:jc w:val="both"/>
        <w:rPr>
          <w:rFonts w:cs="Arial"/>
          <w:color w:val="000000"/>
          <w:sz w:val="22"/>
          <w:szCs w:val="22"/>
        </w:rPr>
      </w:pPr>
    </w:p>
    <w:p w14:paraId="3A6471CF">
      <w:pPr>
        <w:pStyle w:val="32"/>
        <w:tabs>
          <w:tab w:val="left" w:pos="993"/>
        </w:tabs>
        <w:spacing w:before="0" w:beforeAutospacing="0" w:after="0" w:afterAutospacing="0"/>
        <w:ind w:left="0" w:firstLine="0"/>
        <w:jc w:val="both"/>
        <w:rPr>
          <w:rFonts w:ascii="Times New Roman" w:hAnsi="Times New Roman"/>
          <w:sz w:val="22"/>
          <w:szCs w:val="22"/>
        </w:rPr>
      </w:pPr>
    </w:p>
    <w:p w14:paraId="0C3A5278">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 xml:space="preserve">PREÇO </w:t>
      </w:r>
      <w:r>
        <w:rPr>
          <w:sz w:val="22"/>
          <w:szCs w:val="22"/>
        </w:rPr>
        <w:t>(</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V</w:t>
      </w:r>
      <w:r>
        <w:rPr>
          <w:rStyle w:val="62"/>
          <w:sz w:val="22"/>
          <w:szCs w:val="22"/>
        </w:rPr>
        <w:fldChar w:fldCharType="end"/>
      </w:r>
      <w:r>
        <w:rPr>
          <w:rStyle w:val="62"/>
          <w:sz w:val="22"/>
          <w:szCs w:val="22"/>
        </w:rPr>
        <w:t>, da Lei Federal nº 14.133, de 2021</w:t>
      </w:r>
      <w:r>
        <w:rPr>
          <w:sz w:val="22"/>
          <w:szCs w:val="22"/>
        </w:rPr>
        <w:t>)</w:t>
      </w:r>
    </w:p>
    <w:p w14:paraId="2D77C788">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valor total da contratação é de </w:t>
      </w:r>
      <w:r>
        <w:rPr>
          <w:rStyle w:val="53"/>
          <w:rFonts w:ascii="Times New Roman" w:hAnsi="Times New Roman" w:cs="Times New Roman"/>
          <w:b/>
          <w:bCs/>
          <w:color w:val="000000" w:themeColor="text1"/>
          <w:kern w:val="0"/>
          <w:sz w:val="22"/>
          <w:szCs w:val="22"/>
          <w:shd w:val="clear" w:fill="auto"/>
          <w:lang w:val="pt-BR" w:eastAsia="en-US" w:bidi="ar-SA"/>
          <w14:textFill>
            <w14:solidFill>
              <w14:schemeClr w14:val="tx1"/>
            </w14:solidFill>
          </w14:textFill>
        </w:rPr>
        <w:t xml:space="preserve">R$ </w:t>
      </w:r>
      <w:r>
        <w:rPr>
          <w:rStyle w:val="53"/>
          <w:rFonts w:hint="default" w:cs="Times New Roman"/>
          <w:b/>
          <w:bCs/>
          <w:color w:val="000000" w:themeColor="text1"/>
          <w:kern w:val="0"/>
          <w:sz w:val="22"/>
          <w:szCs w:val="22"/>
          <w:shd w:val="clear" w:fill="auto"/>
          <w:lang w:val="pt-BR" w:eastAsia="en-US" w:bidi="ar-SA"/>
          <w14:textFill>
            <w14:solidFill>
              <w14:schemeClr w14:val="tx1"/>
            </w14:solidFill>
          </w14:textFill>
        </w:rPr>
        <w:t>XXXXXXX.</w:t>
      </w:r>
    </w:p>
    <w:p w14:paraId="53268090">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No valor acima, e nos empenhos adicionais,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613F91D">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pagamento poderá conter glosas em virtude dos resultados apurados no Instrumento de Medição de Resultados - IMR (Anexo I-C do Termo de Referência).</w:t>
      </w:r>
    </w:p>
    <w:p w14:paraId="01864213">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611E6456">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CONDIÇÕES DE PAGAMENTO</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V</w:t>
      </w:r>
      <w:r>
        <w:rPr>
          <w:rStyle w:val="62"/>
          <w:sz w:val="22"/>
          <w:szCs w:val="22"/>
        </w:rPr>
        <w:fldChar w:fldCharType="end"/>
      </w:r>
      <w:r>
        <w:rPr>
          <w:rStyle w:val="62"/>
          <w:sz w:val="22"/>
          <w:szCs w:val="22"/>
        </w:rPr>
        <w:t>, da Lei Federal nº 14.133, de 2021</w:t>
      </w:r>
      <w:r>
        <w:rPr>
          <w:sz w:val="22"/>
          <w:szCs w:val="22"/>
        </w:rPr>
        <w:t>)</w:t>
      </w:r>
    </w:p>
    <w:p w14:paraId="5FF0CE5B">
      <w:pPr>
        <w:pStyle w:val="32"/>
        <w:numPr>
          <w:ilvl w:val="1"/>
          <w:numId w:val="14"/>
        </w:numPr>
        <w:tabs>
          <w:tab w:val="left" w:pos="993"/>
        </w:tabs>
        <w:spacing w:before="0" w:beforeAutospacing="0" w:after="0" w:afterAutospacing="0"/>
        <w:ind w:left="0" w:firstLine="567"/>
        <w:jc w:val="both"/>
        <w:rPr>
          <w:sz w:val="22"/>
          <w:szCs w:val="22"/>
        </w:rPr>
      </w:pPr>
      <w:r>
        <w:rPr>
          <w:color w:val="000000"/>
          <w:sz w:val="22"/>
          <w:szCs w:val="22"/>
        </w:rPr>
        <w:t>Para que a Nota Fiscal seja encaminhada para liquidação e pagamento será feito o recebimento provisório pelo responsável por seu acompanhamento e fiscalização (</w:t>
      </w:r>
      <w:r>
        <w:rPr>
          <w:sz w:val="22"/>
          <w:szCs w:val="22"/>
        </w:rPr>
        <w:fldChar w:fldCharType="begin"/>
      </w:r>
      <w:r>
        <w:rPr>
          <w:rStyle w:val="62"/>
          <w:sz w:val="22"/>
          <w:szCs w:val="22"/>
        </w:rPr>
        <w:instrText xml:space="preserve"> HYPERLINK "https://www.planalto.gov.br/ccivil_03/_ato2019-2022/2021/lei/l14133.htm" \l "art140"</w:instrText>
      </w:r>
      <w:r>
        <w:rPr>
          <w:rStyle w:val="62"/>
          <w:sz w:val="22"/>
          <w:szCs w:val="22"/>
        </w:rPr>
        <w:fldChar w:fldCharType="separate"/>
      </w:r>
      <w:r>
        <w:rPr>
          <w:rStyle w:val="62"/>
          <w:sz w:val="22"/>
          <w:szCs w:val="22"/>
        </w:rPr>
        <w:t>art. 140, I, “a”, da Lei Federal nº 14.133, de 2021</w:t>
      </w:r>
      <w:r>
        <w:rPr>
          <w:rStyle w:val="62"/>
          <w:sz w:val="22"/>
          <w:szCs w:val="22"/>
        </w:rPr>
        <w:fldChar w:fldCharType="end"/>
      </w:r>
      <w:r>
        <w:rPr>
          <w:color w:val="000000"/>
          <w:sz w:val="22"/>
          <w:szCs w:val="22"/>
        </w:rPr>
        <w:t>) e o recebimento definitivo por servidor ou comissão designada pela autoridade competente (</w:t>
      </w:r>
      <w:r>
        <w:rPr>
          <w:sz w:val="22"/>
          <w:szCs w:val="22"/>
        </w:rPr>
        <w:fldChar w:fldCharType="begin"/>
      </w:r>
      <w:r>
        <w:rPr>
          <w:rStyle w:val="62"/>
          <w:sz w:val="22"/>
          <w:szCs w:val="22"/>
        </w:rPr>
        <w:instrText xml:space="preserve"> HYPERLINK "https://www.planalto.gov.br/ccivil_03/_ato2019-2022/2021/lei/l14133.htm" \l "art140"</w:instrText>
      </w:r>
      <w:r>
        <w:rPr>
          <w:rStyle w:val="62"/>
          <w:sz w:val="22"/>
          <w:szCs w:val="22"/>
        </w:rPr>
        <w:fldChar w:fldCharType="separate"/>
      </w:r>
      <w:r>
        <w:rPr>
          <w:rStyle w:val="62"/>
          <w:sz w:val="22"/>
          <w:szCs w:val="22"/>
        </w:rPr>
        <w:t>art. 140, I, “b”, da Lei Federal nº 14.133, de 2021</w:t>
      </w:r>
      <w:r>
        <w:rPr>
          <w:rStyle w:val="62"/>
          <w:sz w:val="22"/>
          <w:szCs w:val="22"/>
        </w:rPr>
        <w:fldChar w:fldCharType="end"/>
      </w:r>
      <w:r>
        <w:rPr>
          <w:color w:val="000000"/>
          <w:sz w:val="22"/>
          <w:szCs w:val="22"/>
        </w:rPr>
        <w:t>).</w:t>
      </w:r>
    </w:p>
    <w:p w14:paraId="32CADFE6">
      <w:pPr>
        <w:pStyle w:val="32"/>
        <w:numPr>
          <w:ilvl w:val="0"/>
          <w:numId w:val="0"/>
        </w:numPr>
        <w:tabs>
          <w:tab w:val="left" w:pos="993"/>
        </w:tabs>
        <w:spacing w:before="0" w:beforeAutospacing="0" w:after="0" w:afterAutospacing="0"/>
        <w:ind w:left="567" w:leftChars="0"/>
        <w:jc w:val="both"/>
        <w:rPr>
          <w:sz w:val="22"/>
          <w:szCs w:val="22"/>
        </w:rPr>
      </w:pPr>
    </w:p>
    <w:p w14:paraId="21421E49">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LIQUIDAÇÃO E PAGAMENTO </w:t>
      </w:r>
      <w:r>
        <w:rPr>
          <w:rStyle w:val="16"/>
          <w:b w:val="0"/>
          <w:bCs w:val="0"/>
          <w:color w:val="000000"/>
          <w:sz w:val="22"/>
          <w:szCs w:val="22"/>
        </w:rPr>
        <w:t>(</w:t>
      </w:r>
      <w:r>
        <w:rPr>
          <w:sz w:val="22"/>
          <w:szCs w:val="22"/>
        </w:rPr>
        <w:fldChar w:fldCharType="begin"/>
      </w:r>
      <w:r>
        <w:rPr>
          <w:rStyle w:val="62"/>
          <w:sz w:val="22"/>
          <w:szCs w:val="22"/>
        </w:rPr>
        <w:instrText xml:space="preserve"> HYPERLINK "https://www.planalto.gov.br/ccivil_03/_ato2019-2022/2021/lei/l14133.htm" \l "art143"</w:instrText>
      </w:r>
      <w:r>
        <w:rPr>
          <w:rStyle w:val="62"/>
          <w:sz w:val="22"/>
          <w:szCs w:val="22"/>
        </w:rPr>
        <w:fldChar w:fldCharType="separate"/>
      </w:r>
      <w:r>
        <w:rPr>
          <w:rStyle w:val="62"/>
          <w:sz w:val="22"/>
          <w:szCs w:val="22"/>
        </w:rPr>
        <w:t>art. 143 e 146 da Lei Federal nº 14.133, de 2021</w:t>
      </w:r>
      <w:r>
        <w:rPr>
          <w:rStyle w:val="62"/>
          <w:sz w:val="22"/>
          <w:szCs w:val="22"/>
        </w:rPr>
        <w:fldChar w:fldCharType="end"/>
      </w:r>
      <w:r>
        <w:rPr>
          <w:rStyle w:val="16"/>
          <w:b w:val="0"/>
          <w:bCs w:val="0"/>
          <w:color w:val="000000"/>
          <w:sz w:val="22"/>
          <w:szCs w:val="22"/>
        </w:rPr>
        <w:t xml:space="preserve"> e Resolução 50 de 2023.)</w:t>
      </w:r>
    </w:p>
    <w:p w14:paraId="696D3785">
      <w:pPr>
        <w:pStyle w:val="32"/>
        <w:numPr>
          <w:ilvl w:val="1"/>
          <w:numId w:val="14"/>
        </w:numPr>
        <w:tabs>
          <w:tab w:val="left" w:pos="993"/>
        </w:tabs>
        <w:spacing w:before="0" w:beforeAutospacing="0" w:after="0" w:afterAutospacing="0"/>
        <w:ind w:left="0" w:firstLine="567"/>
        <w:jc w:val="both"/>
        <w:rPr>
          <w:sz w:val="22"/>
          <w:szCs w:val="22"/>
        </w:rPr>
      </w:pPr>
      <w:r>
        <w:rPr>
          <w:color w:val="000000" w:themeColor="text1"/>
          <w:sz w:val="22"/>
          <w:szCs w:val="22"/>
          <w14:textFill>
            <w14:solidFill>
              <w14:schemeClr w14:val="tx1"/>
            </w14:solidFill>
          </w14:textFill>
        </w:rPr>
        <w:t xml:space="preserve">A </w:t>
      </w:r>
      <w:r>
        <w:rPr>
          <w:color w:val="000000"/>
          <w:sz w:val="22"/>
          <w:szCs w:val="22"/>
        </w:rPr>
        <w:t>Contratada</w:t>
      </w:r>
      <w:r>
        <w:rPr>
          <w:color w:val="000000" w:themeColor="text1"/>
          <w:sz w:val="22"/>
          <w:szCs w:val="22"/>
          <w14:textFill>
            <w14:solidFill>
              <w14:schemeClr w14:val="tx1"/>
            </w14:solidFill>
          </w14:textFill>
        </w:rPr>
        <w:t xml:space="preserve"> deverá entregar a Nota Fiscal após a execução do serviço, </w:t>
      </w:r>
      <w:r>
        <w:rPr>
          <w:color w:val="000000"/>
          <w:sz w:val="22"/>
          <w:szCs w:val="22"/>
        </w:rPr>
        <w:t>sob</w:t>
      </w:r>
      <w:r>
        <w:rPr>
          <w:color w:val="000000" w:themeColor="text1"/>
          <w:sz w:val="22"/>
          <w:szCs w:val="22"/>
          <w14:textFill>
            <w14:solidFill>
              <w14:schemeClr w14:val="tx1"/>
            </w14:solidFill>
          </w14:textFill>
        </w:rPr>
        <w:t xml:space="preserve"> pena de não recebimento, e as certidões de regularidade fiscal, social e trabalhista exigidas na habilitação da licitação, ou as justificativas pela impossibilidade de apresentação das referidas certidões, além de outros documentos eventualmente exigidos no </w:t>
      </w:r>
      <w:r>
        <w:rPr>
          <w:rStyle w:val="53"/>
          <w:color w:val="000000"/>
          <w:sz w:val="22"/>
          <w:szCs w:val="22"/>
        </w:rPr>
        <w:t>Termo de Referência</w:t>
      </w:r>
      <w:r>
        <w:rPr>
          <w:color w:val="000000" w:themeColor="text1"/>
          <w:sz w:val="22"/>
          <w:szCs w:val="22"/>
          <w14:textFill>
            <w14:solidFill>
              <w14:schemeClr w14:val="tx1"/>
            </w14:solidFill>
          </w14:textFill>
        </w:rPr>
        <w:t xml:space="preserve"> para liquidação e pagamento, em até</w:t>
      </w:r>
      <w:r>
        <w:rPr>
          <w:color w:val="000000" w:themeColor="text1"/>
          <w:sz w:val="22"/>
          <w:szCs w:val="22"/>
          <w:shd w:val="clear" w:fill="auto"/>
          <w14:textFill>
            <w14:solidFill>
              <w14:schemeClr w14:val="tx1"/>
            </w14:solidFill>
          </w14:textFill>
        </w:rPr>
        <w:t xml:space="preserve"> 30 (trinta) </w:t>
      </w:r>
      <w:r>
        <w:rPr>
          <w:color w:val="000000" w:themeColor="text1"/>
          <w:sz w:val="22"/>
          <w:szCs w:val="22"/>
          <w14:textFill>
            <w14:solidFill>
              <w14:schemeClr w14:val="tx1"/>
            </w14:solidFill>
          </w14:textFill>
        </w:rPr>
        <w:t xml:space="preserve">dias corridos após a entrega do objeto contratado, sob pena de caracterizar a infração tipificada no </w:t>
      </w:r>
      <w:r>
        <w:rPr>
          <w:sz w:val="22"/>
          <w:szCs w:val="22"/>
        </w:rPr>
        <w:fldChar w:fldCharType="begin"/>
      </w:r>
      <w:r>
        <w:rPr>
          <w:rStyle w:val="62"/>
          <w:sz w:val="22"/>
          <w:szCs w:val="22"/>
        </w:rPr>
        <w:instrText xml:space="preserve"> HYPERLINK "https://www.planalto.gov.br/ccivil_03/_ato2019-2022/2021/lei/l14133.htm" \l "art155"</w:instrText>
      </w:r>
      <w:r>
        <w:rPr>
          <w:rStyle w:val="62"/>
          <w:sz w:val="22"/>
          <w:szCs w:val="22"/>
        </w:rPr>
        <w:fldChar w:fldCharType="separate"/>
      </w:r>
      <w:r>
        <w:rPr>
          <w:rStyle w:val="62"/>
          <w:sz w:val="22"/>
          <w:szCs w:val="22"/>
        </w:rPr>
        <w:t>art. 155, VII, da Lei Federal nº 14.133, de 2021</w:t>
      </w:r>
      <w:r>
        <w:rPr>
          <w:rStyle w:val="62"/>
          <w:sz w:val="22"/>
          <w:szCs w:val="22"/>
        </w:rPr>
        <w:fldChar w:fldCharType="end"/>
      </w:r>
      <w:r>
        <w:rPr>
          <w:color w:val="000000" w:themeColor="text1"/>
          <w:sz w:val="22"/>
          <w:szCs w:val="22"/>
          <w14:textFill>
            <w14:solidFill>
              <w14:schemeClr w14:val="tx1"/>
            </w14:solidFill>
          </w14:textFill>
        </w:rPr>
        <w:t>.</w:t>
      </w:r>
    </w:p>
    <w:p w14:paraId="34244ED8">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O </w:t>
      </w:r>
      <w:r>
        <w:rPr>
          <w:color w:val="000000"/>
          <w:sz w:val="22"/>
          <w:szCs w:val="22"/>
        </w:rPr>
        <w:t>CNPJ</w:t>
      </w:r>
      <w:r>
        <w:rPr>
          <w:color w:val="000000" w:themeColor="text1"/>
          <w:sz w:val="22"/>
          <w:szCs w:val="22"/>
          <w14:textFill>
            <w14:solidFill>
              <w14:schemeClr w14:val="tx1"/>
            </w14:solidFill>
          </w14:textFill>
        </w:rPr>
        <w:t xml:space="preserve"> </w:t>
      </w:r>
      <w:r>
        <w:rPr>
          <w:color w:val="000000"/>
          <w:sz w:val="22"/>
          <w:szCs w:val="22"/>
        </w:rPr>
        <w:t>constante</w:t>
      </w:r>
      <w:r>
        <w:rPr>
          <w:color w:val="000000" w:themeColor="text1"/>
          <w:sz w:val="22"/>
          <w:szCs w:val="22"/>
          <w14:textFill>
            <w14:solidFill>
              <w14:schemeClr w14:val="tx1"/>
            </w14:solidFill>
          </w14:textFill>
        </w:rPr>
        <w:t xml:space="preserve"> da Nota Fiscal e/ou DANFE (Documento Auxiliar de Nota Fiscal Eletrônica) deverá ser o mesmo indicado na proposta e neste instrumento de contrato. </w:t>
      </w:r>
    </w:p>
    <w:p w14:paraId="28A2A629">
      <w:pPr>
        <w:pStyle w:val="32"/>
        <w:numPr>
          <w:ilvl w:val="1"/>
          <w:numId w:val="14"/>
        </w:numPr>
        <w:tabs>
          <w:tab w:val="left" w:pos="993"/>
        </w:tabs>
        <w:spacing w:before="0" w:beforeAutospacing="0" w:after="0" w:afterAutospacing="0"/>
        <w:ind w:left="0" w:firstLine="567"/>
        <w:jc w:val="both"/>
        <w:rPr>
          <w:sz w:val="22"/>
          <w:szCs w:val="22"/>
        </w:rPr>
      </w:pPr>
      <w:r>
        <w:rPr>
          <w:color w:val="000000"/>
          <w:sz w:val="22"/>
          <w:szCs w:val="22"/>
        </w:rPr>
        <w:t xml:space="preserve">O pagamento do objeto da presente contratação, sujeito à retenção na fonte de tributos e contribuições sociais de acordo com os normativos legais, será efetuado até o 30º (trigésimo) dia, a partir do recebimento definitivo do objeto contratado, com a emissão de ordem bancária para o crédito em conta corrente da Contratada, observada a ordem cronológica estabelecida no </w:t>
      </w:r>
      <w:r>
        <w:rPr>
          <w:sz w:val="22"/>
          <w:szCs w:val="22"/>
        </w:rPr>
        <w:fldChar w:fldCharType="begin"/>
      </w:r>
      <w:r>
        <w:rPr>
          <w:rStyle w:val="62"/>
          <w:sz w:val="22"/>
          <w:szCs w:val="22"/>
        </w:rPr>
        <w:instrText xml:space="preserve"> HYPERLINK "https://www.planalto.gov.br/ccivil_03/_ato2019-2022/2021/lei/l14133.htm" \l "art141"</w:instrText>
      </w:r>
      <w:r>
        <w:rPr>
          <w:rStyle w:val="62"/>
          <w:sz w:val="22"/>
          <w:szCs w:val="22"/>
        </w:rPr>
        <w:fldChar w:fldCharType="separate"/>
      </w:r>
      <w:r>
        <w:rPr>
          <w:rStyle w:val="62"/>
          <w:sz w:val="22"/>
          <w:szCs w:val="22"/>
        </w:rPr>
        <w:t>art. 141 da Lei Federal nº 14.133, de 2021</w:t>
      </w:r>
      <w:r>
        <w:rPr>
          <w:rStyle w:val="62"/>
          <w:sz w:val="22"/>
          <w:szCs w:val="22"/>
        </w:rPr>
        <w:fldChar w:fldCharType="end"/>
      </w:r>
      <w:r>
        <w:rPr>
          <w:rStyle w:val="62"/>
          <w:sz w:val="22"/>
          <w:szCs w:val="22"/>
        </w:rPr>
        <w:t>.</w:t>
      </w:r>
    </w:p>
    <w:p w14:paraId="1B178BB4">
      <w:pPr>
        <w:pStyle w:val="32"/>
        <w:numPr>
          <w:ilvl w:val="1"/>
          <w:numId w:val="14"/>
        </w:numPr>
        <w:tabs>
          <w:tab w:val="left" w:pos="993"/>
        </w:tabs>
        <w:spacing w:before="0" w:beforeAutospacing="0" w:after="0" w:afterAutospacing="0"/>
        <w:ind w:left="0" w:firstLine="567"/>
        <w:jc w:val="both"/>
        <w:rPr>
          <w:sz w:val="22"/>
          <w:szCs w:val="22"/>
        </w:rPr>
      </w:pPr>
      <w:r>
        <w:rPr>
          <w:color w:val="000000"/>
          <w:sz w:val="22"/>
          <w:szCs w:val="22"/>
        </w:rPr>
        <w:t>Nos pagamentos, o Contratante poderá reter cautelarmente valores referente a eventuais multas, prejuízos e indenizações decorrentes de inadimplemento e dano, devendo ser liberada no prazo previsto para pagamento a parcela incontroversa. (</w:t>
      </w:r>
      <w:r>
        <w:rPr>
          <w:sz w:val="22"/>
          <w:szCs w:val="22"/>
        </w:rPr>
        <w:fldChar w:fldCharType="begin"/>
      </w:r>
      <w:r>
        <w:rPr>
          <w:rStyle w:val="62"/>
          <w:sz w:val="22"/>
          <w:szCs w:val="22"/>
        </w:rPr>
        <w:instrText xml:space="preserve"> HYPERLINK "http://www.planalto.gov.br/ccivil_03/_ato2019-2022/2021/lei/L14133.htm" \l "art143"</w:instrText>
      </w:r>
      <w:r>
        <w:rPr>
          <w:rStyle w:val="62"/>
          <w:sz w:val="22"/>
          <w:szCs w:val="22"/>
        </w:rPr>
        <w:fldChar w:fldCharType="separate"/>
      </w:r>
      <w:r>
        <w:rPr>
          <w:rStyle w:val="62"/>
          <w:sz w:val="22"/>
          <w:szCs w:val="22"/>
        </w:rPr>
        <w:t>art. 143 da Lei Federal nº 14.133, de 2021</w:t>
      </w:r>
      <w:r>
        <w:rPr>
          <w:rStyle w:val="62"/>
          <w:sz w:val="22"/>
          <w:szCs w:val="22"/>
        </w:rPr>
        <w:fldChar w:fldCharType="end"/>
      </w:r>
      <w:r>
        <w:rPr>
          <w:color w:val="000000"/>
          <w:sz w:val="22"/>
          <w:szCs w:val="22"/>
        </w:rPr>
        <w:t>)</w:t>
      </w:r>
    </w:p>
    <w:p w14:paraId="29BB072A">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O Contratante não efetuará pagamento de título descontado, ou por meio de cobrança em banco, bem como, os que forem negociados com terceiros por intermédio da operação de “</w:t>
      </w:r>
      <w:r>
        <w:rPr>
          <w:i/>
          <w:iCs/>
          <w:color w:val="000000"/>
          <w:sz w:val="22"/>
          <w:szCs w:val="22"/>
        </w:rPr>
        <w:t>factoring</w:t>
      </w:r>
      <w:r>
        <w:rPr>
          <w:color w:val="000000"/>
          <w:sz w:val="22"/>
          <w:szCs w:val="22"/>
        </w:rPr>
        <w:t>”.</w:t>
      </w:r>
    </w:p>
    <w:p w14:paraId="69891ACC">
      <w:pPr>
        <w:pStyle w:val="32"/>
        <w:numPr>
          <w:ilvl w:val="1"/>
          <w:numId w:val="14"/>
        </w:numPr>
        <w:tabs>
          <w:tab w:val="left" w:pos="993"/>
        </w:tabs>
        <w:spacing w:before="0" w:beforeAutospacing="0" w:after="120" w:afterAutospacing="0"/>
        <w:ind w:left="0" w:firstLine="567"/>
        <w:jc w:val="both"/>
        <w:rPr>
          <w:sz w:val="22"/>
          <w:szCs w:val="22"/>
        </w:rPr>
      </w:pPr>
      <w:r>
        <w:rPr>
          <w:color w:val="000000" w:themeColor="text1"/>
          <w:sz w:val="22"/>
          <w:szCs w:val="22"/>
          <w14:textFill>
            <w14:solidFill>
              <w14:schemeClr w14:val="tx1"/>
            </w14:solidFill>
          </w14:textFill>
        </w:rPr>
        <w:t xml:space="preserve">Nos termos do </w:t>
      </w:r>
      <w:r>
        <w:rPr>
          <w:sz w:val="22"/>
          <w:szCs w:val="22"/>
        </w:rPr>
        <w:fldChar w:fldCharType="begin"/>
      </w:r>
      <w:r>
        <w:rPr>
          <w:rStyle w:val="62"/>
          <w:sz w:val="22"/>
          <w:szCs w:val="22"/>
        </w:rPr>
        <w:instrText xml:space="preserve"> HYPERLINK "https://www.planalto.gov.br/ccivil_03/_ato2019-2022/2021/lei/l14133.htm" \l "art92"</w:instrText>
      </w:r>
      <w:r>
        <w:rPr>
          <w:rStyle w:val="62"/>
          <w:sz w:val="22"/>
          <w:szCs w:val="22"/>
        </w:rPr>
        <w:fldChar w:fldCharType="separate"/>
      </w:r>
      <w:r>
        <w:rPr>
          <w:rStyle w:val="62"/>
          <w:sz w:val="22"/>
          <w:szCs w:val="22"/>
        </w:rPr>
        <w:t>art. 92, V, da Lei Federal nº 14.133, de 2021</w:t>
      </w:r>
      <w:r>
        <w:rPr>
          <w:rStyle w:val="62"/>
          <w:sz w:val="22"/>
          <w:szCs w:val="22"/>
        </w:rPr>
        <w:fldChar w:fldCharType="end"/>
      </w:r>
      <w:r>
        <w:rPr>
          <w:color w:val="000000" w:themeColor="text1"/>
          <w:sz w:val="22"/>
          <w:szCs w:val="22"/>
          <w14:textFill>
            <w14:solidFill>
              <w14:schemeClr w14:val="tx1"/>
            </w14:solidFill>
          </w14:textFill>
        </w:rPr>
        <w:t xml:space="preserve">, caso o </w:t>
      </w:r>
      <w:r>
        <w:rPr>
          <w:rFonts w:eastAsia="Cambria"/>
          <w:color w:val="000000" w:themeColor="text1"/>
          <w:sz w:val="22"/>
          <w:szCs w:val="22"/>
          <w14:textFill>
            <w14:solidFill>
              <w14:schemeClr w14:val="tx1"/>
            </w14:solidFill>
          </w14:textFill>
        </w:rPr>
        <w:t>pagamento</w:t>
      </w:r>
      <w:r>
        <w:rPr>
          <w:color w:val="000000" w:themeColor="text1"/>
          <w:sz w:val="22"/>
          <w:szCs w:val="22"/>
          <w14:textFill>
            <w14:solidFill>
              <w14:schemeClr w14:val="tx1"/>
            </w14:solidFill>
          </w14:textFill>
        </w:rPr>
        <w:t xml:space="preserve"> seja efetuado </w:t>
      </w:r>
      <w:r>
        <w:rPr>
          <w:color w:val="000000"/>
          <w:sz w:val="22"/>
          <w:szCs w:val="22"/>
        </w:rPr>
        <w:t>após</w:t>
      </w:r>
      <w:r>
        <w:rPr>
          <w:color w:val="000000" w:themeColor="text1"/>
          <w:sz w:val="22"/>
          <w:szCs w:val="22"/>
          <w14:textFill>
            <w14:solidFill>
              <w14:schemeClr w14:val="tx1"/>
            </w14:solidFill>
          </w14:textFill>
        </w:rPr>
        <w:t xml:space="preserve"> 30 (</w:t>
      </w:r>
      <w:r>
        <w:rPr>
          <w:color w:val="000000"/>
          <w:sz w:val="22"/>
          <w:szCs w:val="22"/>
        </w:rPr>
        <w:t>trinta</w:t>
      </w:r>
      <w:r>
        <w:rPr>
          <w:color w:val="000000" w:themeColor="text1"/>
          <w:sz w:val="22"/>
          <w:szCs w:val="22"/>
          <w14:textFill>
            <w14:solidFill>
              <w14:schemeClr w14:val="tx1"/>
            </w14:solidFill>
          </w14:textFill>
        </w:rPr>
        <w:t xml:space="preserve">) dias do recebimento definitivo do objeto contratado, desde que a Contratada não tenha concorrido de alguma forma para tanto, fica convencionado que a taxa de compensação financeira devida pelo </w:t>
      </w:r>
      <w:r>
        <w:rPr>
          <w:color w:val="000000"/>
          <w:sz w:val="22"/>
          <w:szCs w:val="22"/>
        </w:rPr>
        <w:t>Contratante</w:t>
      </w:r>
      <w:r>
        <w:rPr>
          <w:color w:val="000000" w:themeColor="text1"/>
          <w:sz w:val="22"/>
          <w:szCs w:val="22"/>
          <w14:textFill>
            <w14:solidFill>
              <w14:schemeClr w14:val="tx1"/>
            </w14:solidFill>
          </w14:textFill>
        </w:rPr>
        <w:t>, entre o 31º (trigésimo primeiro) dia e a data da emissão da ordem bancária, será a seguinte:</w:t>
      </w:r>
    </w:p>
    <w:p w14:paraId="4117E47C">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 = I x N x VP</w:t>
      </w:r>
    </w:p>
    <w:p w14:paraId="4FD70F90">
      <w:pPr>
        <w:spacing w:before="0" w:after="0" w:line="240" w:lineRule="auto"/>
        <w:ind w:firstLine="567"/>
        <w:jc w:val="both"/>
        <w:textAlignment w:val="baseline"/>
        <w:rPr>
          <w:rFonts w:ascii="Times New Roman" w:hAnsi="Times New Roman"/>
          <w:sz w:val="22"/>
          <w:szCs w:val="22"/>
        </w:rPr>
      </w:pPr>
      <w:r>
        <w:rPr>
          <w:rFonts w:ascii="Times New Roman" w:hAnsi="Times New Roman" w:eastAsia="Times New Roman" w:cs="Times New Roman"/>
          <w:color w:val="000000"/>
          <w:sz w:val="22"/>
          <w:szCs w:val="22"/>
          <w:lang w:eastAsia="pt-BR"/>
        </w:rPr>
        <w:t>Onde:</w:t>
      </w:r>
    </w:p>
    <w:p w14:paraId="61EDEAEA">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w:t>
      </w:r>
      <w:r>
        <w:rPr>
          <w:rFonts w:ascii="Times New Roman" w:hAnsi="Times New Roman" w:eastAsia="Times New Roman" w:cs="Times New Roman"/>
          <w:color w:val="000000"/>
          <w:sz w:val="22"/>
          <w:szCs w:val="22"/>
          <w:lang w:eastAsia="pt-BR"/>
        </w:rPr>
        <w:t xml:space="preserve"> = encargos moratórios;</w:t>
      </w:r>
    </w:p>
    <w:p w14:paraId="1EB66BAB">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I</w:t>
      </w:r>
      <w:r>
        <w:rPr>
          <w:rFonts w:ascii="Times New Roman" w:hAnsi="Times New Roman" w:eastAsia="Times New Roman" w:cs="Times New Roman"/>
          <w:color w:val="000000"/>
          <w:sz w:val="22"/>
          <w:szCs w:val="22"/>
          <w:lang w:eastAsia="pt-BR"/>
        </w:rPr>
        <w:t xml:space="preserve"> = 0,0001644 (índice de compensação financeira por dia de atraso, assim apurado: I = (6/100/365);</w:t>
      </w:r>
    </w:p>
    <w:p w14:paraId="0C154DF6">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N</w:t>
      </w:r>
      <w:r>
        <w:rPr>
          <w:rFonts w:ascii="Times New Roman" w:hAnsi="Times New Roman" w:eastAsia="Times New Roman" w:cs="Times New Roman"/>
          <w:color w:val="000000"/>
          <w:sz w:val="22"/>
          <w:szCs w:val="22"/>
          <w:lang w:eastAsia="pt-BR"/>
        </w:rPr>
        <w:t xml:space="preserve"> = número de dias entre a data limite para o pagamento e a do efetivo pagamento;</w:t>
      </w:r>
    </w:p>
    <w:p w14:paraId="465F591E">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VP</w:t>
      </w:r>
      <w:r>
        <w:rPr>
          <w:rFonts w:ascii="Times New Roman" w:hAnsi="Times New Roman" w:eastAsia="Times New Roman" w:cs="Times New Roman"/>
          <w:color w:val="000000"/>
          <w:sz w:val="22"/>
          <w:szCs w:val="22"/>
          <w:lang w:eastAsia="pt-BR"/>
        </w:rPr>
        <w:t xml:space="preserve"> = valor da parcela a ser paga.</w:t>
      </w:r>
    </w:p>
    <w:p w14:paraId="441B8A25">
      <w:pPr>
        <w:pStyle w:val="32"/>
        <w:numPr>
          <w:ilvl w:val="0"/>
          <w:numId w:val="14"/>
        </w:numPr>
        <w:pBdr>
          <w:bottom w:val="single" w:color="000000" w:themeColor="dark1" w:sz="4" w:space="1"/>
        </w:pBdr>
        <w:shd w:val="clear" w:color="auto" w:fill="BEBEBE" w:themeFill="background1" w:themeFillShade="BF"/>
        <w:spacing w:before="360" w:beforeAutospacing="0" w:after="0" w:afterAutospacing="0"/>
        <w:jc w:val="both"/>
        <w:rPr>
          <w:sz w:val="22"/>
          <w:szCs w:val="22"/>
        </w:rPr>
      </w:pPr>
      <w:bookmarkStart w:id="82" w:name="_REAJUSTE_(art._92,"/>
      <w:bookmarkEnd w:id="82"/>
      <w:r>
        <w:rPr>
          <w:rStyle w:val="16"/>
          <w:color w:val="000000"/>
          <w:sz w:val="22"/>
          <w:szCs w:val="22"/>
        </w:rPr>
        <w:t>GARANTIA DE EXECUÇÃO</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XII</w:t>
      </w:r>
      <w:r>
        <w:rPr>
          <w:rStyle w:val="62"/>
          <w:sz w:val="22"/>
          <w:szCs w:val="22"/>
        </w:rPr>
        <w:fldChar w:fldCharType="end"/>
      </w:r>
      <w:r>
        <w:rPr>
          <w:rStyle w:val="62"/>
          <w:sz w:val="22"/>
          <w:szCs w:val="22"/>
        </w:rPr>
        <w:t xml:space="preserve"> e XIII, da Lei Federal nº 14.133, de 2021</w:t>
      </w:r>
      <w:r>
        <w:rPr>
          <w:sz w:val="22"/>
          <w:szCs w:val="22"/>
        </w:rPr>
        <w:t>)</w:t>
      </w:r>
    </w:p>
    <w:p w14:paraId="43AC7E4D">
      <w:pPr>
        <w:pStyle w:val="32"/>
        <w:numPr>
          <w:ilvl w:val="1"/>
          <w:numId w:val="14"/>
        </w:numPr>
        <w:tabs>
          <w:tab w:val="left" w:pos="993"/>
        </w:tabs>
        <w:spacing w:before="0" w:beforeAutospacing="0" w:after="0" w:afterAutospacing="0"/>
        <w:ind w:left="0" w:firstLine="567"/>
        <w:jc w:val="both"/>
        <w:rPr>
          <w:sz w:val="22"/>
          <w:szCs w:val="22"/>
        </w:rPr>
      </w:pPr>
      <w:r>
        <w:rPr>
          <w:color w:val="000000"/>
          <w:sz w:val="22"/>
          <w:szCs w:val="22"/>
        </w:rPr>
        <w:t>A garantia legal de adequação do serviço independe de termo expresso, vedada a exoneração contratual do fornecedor. (</w:t>
      </w:r>
      <w:r>
        <w:rPr>
          <w:sz w:val="22"/>
          <w:szCs w:val="22"/>
        </w:rPr>
        <w:fldChar w:fldCharType="begin"/>
      </w:r>
      <w:r>
        <w:rPr>
          <w:rStyle w:val="62"/>
          <w:sz w:val="22"/>
          <w:szCs w:val="22"/>
        </w:rPr>
        <w:instrText xml:space="preserve"> HYPERLINK "https://www.planalto.gov.br/ccivil_03/leis/l8078compilado.htm" \l "art24"</w:instrText>
      </w:r>
      <w:r>
        <w:rPr>
          <w:rStyle w:val="62"/>
          <w:sz w:val="22"/>
          <w:szCs w:val="22"/>
        </w:rPr>
        <w:fldChar w:fldCharType="separate"/>
      </w:r>
      <w:r>
        <w:rPr>
          <w:rStyle w:val="62"/>
          <w:sz w:val="22"/>
          <w:szCs w:val="22"/>
        </w:rPr>
        <w:t>art. 24 da Lei Federal nº 8.078, de 1990</w:t>
      </w:r>
      <w:r>
        <w:rPr>
          <w:rStyle w:val="62"/>
          <w:sz w:val="22"/>
          <w:szCs w:val="22"/>
        </w:rPr>
        <w:fldChar w:fldCharType="end"/>
      </w:r>
      <w:r>
        <w:rPr>
          <w:color w:val="000000"/>
          <w:sz w:val="22"/>
          <w:szCs w:val="22"/>
        </w:rPr>
        <w:t>)</w:t>
      </w:r>
    </w:p>
    <w:p w14:paraId="7392F74C">
      <w:pPr>
        <w:pStyle w:val="32"/>
        <w:numPr>
          <w:ilvl w:val="1"/>
          <w:numId w:val="14"/>
        </w:numPr>
        <w:tabs>
          <w:tab w:val="left" w:pos="993"/>
        </w:tabs>
        <w:spacing w:before="0" w:beforeAutospacing="0" w:after="0" w:afterAutospacing="0"/>
        <w:ind w:left="0" w:firstLine="567"/>
        <w:jc w:val="both"/>
        <w:rPr>
          <w:sz w:val="22"/>
          <w:szCs w:val="22"/>
        </w:rPr>
      </w:pPr>
      <w:r>
        <w:rPr>
          <w:color w:val="000000"/>
          <w:sz w:val="22"/>
          <w:szCs w:val="22"/>
        </w:rPr>
        <w:t>A garantia contratual é complementar à legal. (</w:t>
      </w:r>
      <w:r>
        <w:rPr>
          <w:sz w:val="22"/>
          <w:szCs w:val="22"/>
        </w:rPr>
        <w:fldChar w:fldCharType="begin"/>
      </w:r>
      <w:r>
        <w:rPr>
          <w:rStyle w:val="62"/>
          <w:sz w:val="22"/>
          <w:szCs w:val="22"/>
        </w:rPr>
        <w:instrText xml:space="preserve"> HYPERLINK "https://www.planalto.gov.br/ccivil_03/leis/l8078compilado.htm" \l "art50"</w:instrText>
      </w:r>
      <w:r>
        <w:rPr>
          <w:rStyle w:val="62"/>
          <w:sz w:val="22"/>
          <w:szCs w:val="22"/>
        </w:rPr>
        <w:fldChar w:fldCharType="separate"/>
      </w:r>
      <w:r>
        <w:rPr>
          <w:rStyle w:val="62"/>
          <w:sz w:val="22"/>
          <w:szCs w:val="22"/>
        </w:rPr>
        <w:t>art. 50 da Lei Federal nº 8.078, de 1990</w:t>
      </w:r>
      <w:r>
        <w:rPr>
          <w:rStyle w:val="62"/>
          <w:sz w:val="22"/>
          <w:szCs w:val="22"/>
        </w:rPr>
        <w:fldChar w:fldCharType="end"/>
      </w:r>
      <w:r>
        <w:rPr>
          <w:color w:val="000000"/>
          <w:sz w:val="22"/>
          <w:szCs w:val="22"/>
        </w:rPr>
        <w:t>)</w:t>
      </w:r>
      <w:r>
        <w:rPr>
          <w:rFonts w:hint="default"/>
          <w:color w:val="000000"/>
          <w:sz w:val="22"/>
          <w:szCs w:val="22"/>
          <w:lang w:val="pt-BR"/>
        </w:rPr>
        <w:t>.</w:t>
      </w:r>
    </w:p>
    <w:p w14:paraId="011CD1F6">
      <w:pPr>
        <w:pStyle w:val="32"/>
        <w:numPr>
          <w:ilvl w:val="0"/>
          <w:numId w:val="0"/>
        </w:numPr>
        <w:tabs>
          <w:tab w:val="left" w:pos="993"/>
        </w:tabs>
        <w:spacing w:before="0" w:beforeAutospacing="0" w:after="0" w:afterAutospacing="0"/>
        <w:ind w:left="567" w:leftChars="0"/>
        <w:jc w:val="both"/>
        <w:rPr>
          <w:sz w:val="22"/>
          <w:szCs w:val="22"/>
        </w:rPr>
      </w:pPr>
    </w:p>
    <w:p w14:paraId="6C19D7C3">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REAJUSTE</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 3º, da Lei Federal nº 14.133, de 2021</w:t>
      </w:r>
      <w:r>
        <w:rPr>
          <w:rStyle w:val="62"/>
          <w:sz w:val="22"/>
          <w:szCs w:val="22"/>
        </w:rPr>
        <w:fldChar w:fldCharType="end"/>
      </w:r>
      <w:r>
        <w:rPr>
          <w:sz w:val="22"/>
          <w:szCs w:val="22"/>
        </w:rPr>
        <w:t>)</w:t>
      </w:r>
    </w:p>
    <w:p w14:paraId="6AA513FE">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Os preços inicialmente contratados são fixos e irreajustáveis no prazo de um ano contado da data da proposta (dia de abertura do certame licitatório).</w:t>
      </w:r>
    </w:p>
    <w:p w14:paraId="6C2D1563">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Após o interregno de um ano, independentemente de pedido da Contratada, os preços iniciais serão reajustados, exclusivamente para as obrigações iniciadas e concluídas após a ocorrência da anualidade.</w:t>
      </w:r>
    </w:p>
    <w:p w14:paraId="020B99E9">
      <w:pPr>
        <w:pStyle w:val="32"/>
        <w:numPr>
          <w:ilvl w:val="1"/>
          <w:numId w:val="14"/>
        </w:numPr>
        <w:tabs>
          <w:tab w:val="left" w:pos="993"/>
        </w:tabs>
        <w:spacing w:before="0" w:beforeAutospacing="0" w:after="12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Para </w:t>
      </w:r>
      <w:r>
        <w:rPr>
          <w:color w:val="000000"/>
          <w:sz w:val="22"/>
          <w:szCs w:val="22"/>
        </w:rPr>
        <w:t>efeito</w:t>
      </w:r>
      <w:r>
        <w:rPr>
          <w:color w:val="000000" w:themeColor="text1"/>
          <w:sz w:val="22"/>
          <w:szCs w:val="22"/>
          <w14:textFill>
            <w14:solidFill>
              <w14:schemeClr w14:val="tx1"/>
            </w14:solidFill>
          </w14:textFill>
        </w:rPr>
        <w:t xml:space="preserve"> do disposto no item anterior, será apreciada a possibilidade da aplicação do Índice Nacional de Preços ao Consumidor - INPC - do Instituto Brasileiro de Geografia e Estatística - IBGE, com data-base vinculada à data da proposta, de acordo com a seguinte fórmula:</w:t>
      </w:r>
    </w:p>
    <w:p w14:paraId="3A2F678F">
      <w:pPr>
        <w:pStyle w:val="5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 = PI x IR</w:t>
      </w:r>
    </w:p>
    <w:p w14:paraId="47EB9CA6">
      <w:pPr>
        <w:pStyle w:val="50"/>
        <w:tabs>
          <w:tab w:val="left" w:pos="1134"/>
        </w:tabs>
        <w:spacing w:before="120" w:beforeAutospacing="0" w:after="120" w:afterAutospacing="0"/>
        <w:ind w:left="567"/>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Onde:</w:t>
      </w:r>
    </w:p>
    <w:p w14:paraId="21926D92">
      <w:pPr>
        <w:pStyle w:val="5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w:t>
      </w:r>
      <w:r>
        <w:rPr>
          <w:color w:val="000000" w:themeColor="text1"/>
          <w:sz w:val="22"/>
          <w:szCs w:val="22"/>
          <w14:textFill>
            <w14:solidFill>
              <w14:schemeClr w14:val="tx1"/>
            </w14:solidFill>
          </w14:textFill>
        </w:rPr>
        <w:t xml:space="preserve"> = Preço reajustado</w:t>
      </w:r>
    </w:p>
    <w:p w14:paraId="6A6F9F4B">
      <w:pPr>
        <w:pStyle w:val="5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PI</w:t>
      </w:r>
      <w:r>
        <w:rPr>
          <w:color w:val="000000" w:themeColor="text1"/>
          <w:sz w:val="22"/>
          <w:szCs w:val="22"/>
          <w14:textFill>
            <w14:solidFill>
              <w14:schemeClr w14:val="tx1"/>
            </w14:solidFill>
          </w14:textFill>
        </w:rPr>
        <w:t xml:space="preserve"> = Preço inicial </w:t>
      </w:r>
    </w:p>
    <w:p w14:paraId="098B266B">
      <w:pPr>
        <w:pStyle w:val="5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 xml:space="preserve">IR </w:t>
      </w:r>
      <w:r>
        <w:rPr>
          <w:color w:val="000000" w:themeColor="text1"/>
          <w:sz w:val="22"/>
          <w:szCs w:val="22"/>
          <w14:textFill>
            <w14:solidFill>
              <w14:schemeClr w14:val="tx1"/>
            </w14:solidFill>
          </w14:textFill>
        </w:rPr>
        <w:t>= Índice de reajuste</w:t>
      </w:r>
    </w:p>
    <w:p w14:paraId="192AAF29">
      <w:pPr>
        <w:pStyle w:val="32"/>
        <w:numPr>
          <w:ilvl w:val="1"/>
          <w:numId w:val="14"/>
        </w:numPr>
        <w:tabs>
          <w:tab w:val="left" w:pos="993"/>
        </w:tabs>
        <w:spacing w:before="12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Na </w:t>
      </w:r>
      <w:r>
        <w:rPr>
          <w:color w:val="000000"/>
          <w:sz w:val="22"/>
          <w:szCs w:val="22"/>
        </w:rPr>
        <w:t>hipótese</w:t>
      </w:r>
      <w:r>
        <w:rPr>
          <w:color w:val="000000" w:themeColor="text1"/>
          <w:sz w:val="22"/>
          <w:szCs w:val="22"/>
          <w14:textFill>
            <w14:solidFill>
              <w14:schemeClr w14:val="tx1"/>
            </w14:solidFill>
          </w14:textFill>
        </w:rPr>
        <w:t xml:space="preserve"> de reajuste, a Contratada será consultada sobre a possibilidade de renúncia ao </w:t>
      </w:r>
      <w:r>
        <w:rPr>
          <w:color w:val="000000"/>
          <w:sz w:val="22"/>
          <w:szCs w:val="22"/>
        </w:rPr>
        <w:t>reajuste</w:t>
      </w:r>
      <w:r>
        <w:rPr>
          <w:color w:val="000000" w:themeColor="text1"/>
          <w:sz w:val="22"/>
          <w:szCs w:val="22"/>
          <w14:textFill>
            <w14:solidFill>
              <w14:schemeClr w14:val="tx1"/>
            </w14:solidFill>
          </w14:textFill>
        </w:rPr>
        <w:t>.</w:t>
      </w:r>
    </w:p>
    <w:p w14:paraId="1CCD7DC0">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somente terá direito a reajustes se não tiver dado causa a atrasos no cumprimento de suas obrigações.</w:t>
      </w:r>
    </w:p>
    <w:p w14:paraId="6D95F28C">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Nos reajustes subsequentes ao primeiro, o interregno mínimo de um ano será contado a partir dos efeitos financeiros do último reajuste.</w:t>
      </w:r>
    </w:p>
    <w:p w14:paraId="147CF3CC">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Fica a Contratada obrigada a apresentar memória de cálculo referente ao reajustamento de preços do valor remanescente, sempre que este ocorrer.</w:t>
      </w:r>
    </w:p>
    <w:p w14:paraId="473A0BC5">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Caso o(s) índice(s) estabelecido(s) para reajustamento venha(m) a ser extinto(s) ou de qualquer forma não possa(m) mais ser utilizado(s), será(ão) adotado(s), em substituição, o(s) que vier(em) a ser determinado(s) pela legislação então em vigor.</w:t>
      </w:r>
    </w:p>
    <w:p w14:paraId="3E43AFAB">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Na ausência de previsão legal quanto ao índice substituto, as partes elegerão novo índice oficial, para reajustamento do preço do valor remanescente, por meio de termo aditivo. </w:t>
      </w:r>
    </w:p>
    <w:p w14:paraId="367CD065">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reajuste será realizado por apostilamento.</w:t>
      </w:r>
    </w:p>
    <w:p w14:paraId="3C83B5B1">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79D6EF1F">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SANÇÕES ADMINISTRATIVAS</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XIV</w:t>
      </w:r>
      <w:r>
        <w:rPr>
          <w:rStyle w:val="62"/>
          <w:sz w:val="22"/>
          <w:szCs w:val="22"/>
        </w:rPr>
        <w:fldChar w:fldCharType="end"/>
      </w:r>
      <w:r>
        <w:rPr>
          <w:rStyle w:val="62"/>
          <w:sz w:val="22"/>
          <w:szCs w:val="22"/>
        </w:rPr>
        <w:t>, da Lei Federal nº 14.133, de 2021</w:t>
      </w:r>
      <w:r>
        <w:rPr>
          <w:sz w:val="22"/>
          <w:szCs w:val="22"/>
        </w:rPr>
        <w:t>)</w:t>
      </w:r>
    </w:p>
    <w:p w14:paraId="773AC992">
      <w:pPr>
        <w:pStyle w:val="32"/>
        <w:numPr>
          <w:ilvl w:val="1"/>
          <w:numId w:val="14"/>
        </w:numPr>
        <w:tabs>
          <w:tab w:val="left" w:pos="993"/>
        </w:tabs>
        <w:spacing w:before="0" w:beforeAutospacing="0" w:after="0" w:afterAutospacing="0"/>
        <w:ind w:left="0" w:firstLine="567"/>
        <w:jc w:val="both"/>
        <w:rPr>
          <w:sz w:val="22"/>
          <w:szCs w:val="22"/>
        </w:rPr>
      </w:pPr>
      <w:r>
        <w:rPr>
          <w:color w:val="000000"/>
          <w:sz w:val="22"/>
          <w:szCs w:val="22"/>
        </w:rPr>
        <w:t xml:space="preserve">No </w:t>
      </w:r>
      <w:r>
        <w:rPr>
          <w:sz w:val="22"/>
          <w:szCs w:val="22"/>
        </w:rPr>
        <w:t>caso</w:t>
      </w:r>
      <w:r>
        <w:rPr>
          <w:color w:val="000000"/>
          <w:sz w:val="22"/>
          <w:szCs w:val="22"/>
        </w:rPr>
        <w:t xml:space="preserve"> de a Contratada incorrer em uma ou mais condutas tipificadas no </w:t>
      </w:r>
      <w:r>
        <w:rPr>
          <w:sz w:val="22"/>
          <w:szCs w:val="22"/>
        </w:rPr>
        <w:fldChar w:fldCharType="begin"/>
      </w:r>
      <w:r>
        <w:rPr>
          <w:rStyle w:val="62"/>
          <w:sz w:val="22"/>
          <w:szCs w:val="22"/>
        </w:rPr>
        <w:instrText xml:space="preserve"> HYPERLINK "https://www.planalto.gov.br/ccivil_03/_ato2019-2022/2021/lei/l14133.htm" \l "art155"</w:instrText>
      </w:r>
      <w:r>
        <w:rPr>
          <w:rStyle w:val="62"/>
          <w:sz w:val="22"/>
          <w:szCs w:val="22"/>
        </w:rPr>
        <w:fldChar w:fldCharType="separate"/>
      </w:r>
      <w:r>
        <w:rPr>
          <w:rStyle w:val="62"/>
          <w:sz w:val="22"/>
          <w:szCs w:val="22"/>
        </w:rPr>
        <w:t>art. 155 da Lei Federal nº 14.133, de 2021</w:t>
      </w:r>
      <w:r>
        <w:rPr>
          <w:rStyle w:val="62"/>
          <w:sz w:val="22"/>
          <w:szCs w:val="22"/>
        </w:rPr>
        <w:fldChar w:fldCharType="end"/>
      </w:r>
      <w:r>
        <w:rPr>
          <w:color w:val="000000"/>
          <w:sz w:val="22"/>
          <w:szCs w:val="22"/>
        </w:rPr>
        <w:t xml:space="preserve">, será responsabilizada administrativamente em uma ou mais das sanções previstas no </w:t>
      </w:r>
      <w:r>
        <w:rPr>
          <w:sz w:val="22"/>
          <w:szCs w:val="22"/>
        </w:rPr>
        <w:fldChar w:fldCharType="begin"/>
      </w:r>
      <w:r>
        <w:rPr>
          <w:rStyle w:val="62"/>
          <w:sz w:val="22"/>
          <w:szCs w:val="22"/>
        </w:rPr>
        <w:instrText xml:space="preserve"> HYPERLINK "https://www.planalto.gov.br/ccivil_03/_ato2019-2022/2021/lei/l14133.htm" \l "art156"</w:instrText>
      </w:r>
      <w:r>
        <w:rPr>
          <w:rStyle w:val="62"/>
          <w:sz w:val="22"/>
          <w:szCs w:val="22"/>
        </w:rPr>
        <w:fldChar w:fldCharType="separate"/>
      </w:r>
      <w:r>
        <w:rPr>
          <w:rStyle w:val="62"/>
          <w:sz w:val="22"/>
          <w:szCs w:val="22"/>
        </w:rPr>
        <w:t>art. 156, da Lei Federal nº 14.133, de 2021</w:t>
      </w:r>
      <w:r>
        <w:rPr>
          <w:rStyle w:val="62"/>
          <w:sz w:val="22"/>
          <w:szCs w:val="22"/>
        </w:rPr>
        <w:fldChar w:fldCharType="end"/>
      </w:r>
      <w:r>
        <w:rPr>
          <w:color w:val="000000"/>
          <w:sz w:val="22"/>
          <w:szCs w:val="22"/>
        </w:rPr>
        <w:t>, garantido o direito à ampla defesa e contraditório.</w:t>
      </w:r>
    </w:p>
    <w:p w14:paraId="110B663C">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Em caso de atraso na execução dos serviços, será aplicada multa de mora, correspondente a 2% (um por cento) por dia útil de atraso, incidente sobre o valor da parcela inadimplida, até o limite máximo de 10% (dez por cento), nas hipóteses de atraso injustificado na entrega do(s) serviço(s). A entrega após esse prazo configura a inexecução parcial do contrato, cuja multa será de 15% (quinze por cento) sobre o valor total da contratação e a não entrega até 10 (trinta) dias úteis após o prazo final de entrega caracterizará inexecução total do contrato, cuja multa será de 20% (vinte por cento) sobre o valor total da contratação.</w:t>
      </w:r>
    </w:p>
    <w:p w14:paraId="198BDC83">
      <w:pPr>
        <w:pStyle w:val="32"/>
        <w:numPr>
          <w:ilvl w:val="1"/>
          <w:numId w:val="14"/>
        </w:numPr>
        <w:tabs>
          <w:tab w:val="left" w:pos="993"/>
        </w:tabs>
        <w:spacing w:before="0" w:beforeAutospacing="0" w:after="0" w:afterAutospacing="0"/>
        <w:ind w:left="0" w:firstLine="567"/>
        <w:jc w:val="both"/>
        <w:rPr>
          <w:sz w:val="22"/>
          <w:szCs w:val="22"/>
        </w:rPr>
      </w:pPr>
      <w:r>
        <w:rPr>
          <w:color w:val="000000"/>
          <w:sz w:val="22"/>
          <w:szCs w:val="22"/>
        </w:rPr>
        <w:t xml:space="preserve">Na </w:t>
      </w:r>
      <w:r>
        <w:rPr>
          <w:sz w:val="22"/>
          <w:szCs w:val="22"/>
        </w:rPr>
        <w:t>aplicação</w:t>
      </w:r>
      <w:r>
        <w:rPr>
          <w:color w:val="000000"/>
          <w:sz w:val="22"/>
          <w:szCs w:val="22"/>
        </w:rPr>
        <w:t xml:space="preserve"> das sanções serão considerados (</w:t>
      </w:r>
      <w:r>
        <w:rPr>
          <w:sz w:val="22"/>
          <w:szCs w:val="22"/>
        </w:rPr>
        <w:fldChar w:fldCharType="begin"/>
      </w:r>
      <w:r>
        <w:rPr>
          <w:rStyle w:val="62"/>
          <w:sz w:val="22"/>
          <w:szCs w:val="22"/>
        </w:rPr>
        <w:instrText xml:space="preserve"> HYPERLINK "https://www.planalto.gov.br/ccivil_03/_ato2019-2022/2021/lei/l14133.htm" \l "art156"</w:instrText>
      </w:r>
      <w:r>
        <w:rPr>
          <w:rStyle w:val="62"/>
          <w:sz w:val="22"/>
          <w:szCs w:val="22"/>
        </w:rPr>
        <w:fldChar w:fldCharType="separate"/>
      </w:r>
      <w:r>
        <w:rPr>
          <w:rStyle w:val="62"/>
          <w:sz w:val="22"/>
          <w:szCs w:val="22"/>
        </w:rPr>
        <w:t>art. 156, § 1º, da Lei Federal nº 14.133, de 2021</w:t>
      </w:r>
      <w:r>
        <w:rPr>
          <w:rStyle w:val="62"/>
          <w:sz w:val="22"/>
          <w:szCs w:val="22"/>
        </w:rPr>
        <w:fldChar w:fldCharType="end"/>
      </w:r>
      <w:r>
        <w:rPr>
          <w:color w:val="000000"/>
          <w:sz w:val="22"/>
          <w:szCs w:val="22"/>
        </w:rPr>
        <w:t>):</w:t>
      </w:r>
    </w:p>
    <w:p w14:paraId="4D98FE6A">
      <w:pPr>
        <w:pStyle w:val="50"/>
        <w:numPr>
          <w:ilvl w:val="2"/>
          <w:numId w:val="14"/>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a natureza e a gravidade da infração cometida;</w:t>
      </w:r>
    </w:p>
    <w:p w14:paraId="5379A46E">
      <w:pPr>
        <w:pStyle w:val="50"/>
        <w:numPr>
          <w:ilvl w:val="2"/>
          <w:numId w:val="1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peculiaridades do caso concreto;</w:t>
      </w:r>
    </w:p>
    <w:p w14:paraId="74846197">
      <w:pPr>
        <w:pStyle w:val="50"/>
        <w:numPr>
          <w:ilvl w:val="2"/>
          <w:numId w:val="1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circunstâncias agravantes ou atenuantes;</w:t>
      </w:r>
    </w:p>
    <w:p w14:paraId="7E83719E">
      <w:pPr>
        <w:pStyle w:val="50"/>
        <w:numPr>
          <w:ilvl w:val="2"/>
          <w:numId w:val="1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os danos que dela provierem para a Administração Pública;</w:t>
      </w:r>
    </w:p>
    <w:p w14:paraId="781BD413">
      <w:pPr>
        <w:pStyle w:val="50"/>
        <w:numPr>
          <w:ilvl w:val="2"/>
          <w:numId w:val="1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implantação ou o aperfeiçoamento de programa de integridade, conforme normas e orientações dos órgãos de controle.</w:t>
      </w:r>
    </w:p>
    <w:p w14:paraId="5CBC8D80">
      <w:pPr>
        <w:pStyle w:val="32"/>
        <w:numPr>
          <w:ilvl w:val="1"/>
          <w:numId w:val="14"/>
        </w:numPr>
        <w:tabs>
          <w:tab w:val="left" w:pos="993"/>
        </w:tabs>
        <w:spacing w:before="120" w:beforeAutospacing="0" w:after="0" w:afterAutospacing="0"/>
        <w:ind w:left="0" w:firstLine="567"/>
        <w:jc w:val="both"/>
        <w:rPr>
          <w:sz w:val="22"/>
          <w:szCs w:val="22"/>
        </w:rPr>
      </w:pPr>
      <w:r>
        <w:rPr>
          <w:sz w:val="22"/>
          <w:szCs w:val="22"/>
        </w:rPr>
        <w:t>As sanções de advertência (</w:t>
      </w:r>
      <w:r>
        <w:rPr>
          <w:sz w:val="22"/>
          <w:szCs w:val="22"/>
        </w:rPr>
        <w:fldChar w:fldCharType="begin"/>
      </w:r>
      <w:r>
        <w:rPr>
          <w:rStyle w:val="62"/>
          <w:sz w:val="22"/>
          <w:szCs w:val="22"/>
        </w:rPr>
        <w:instrText xml:space="preserve"> HYPERLINK "http://www.planalto.gov.br/ccivil_03/_ato2019-2022/2021/lei/L14133.htm" \l "art156"</w:instrText>
      </w:r>
      <w:r>
        <w:rPr>
          <w:rStyle w:val="62"/>
          <w:sz w:val="22"/>
          <w:szCs w:val="22"/>
        </w:rPr>
        <w:fldChar w:fldCharType="separate"/>
      </w:r>
      <w:r>
        <w:rPr>
          <w:rStyle w:val="62"/>
          <w:sz w:val="22"/>
          <w:szCs w:val="22"/>
        </w:rPr>
        <w:t>art. 156, I, da Lei Federal nº 14.133, de 2021</w:t>
      </w:r>
      <w:r>
        <w:rPr>
          <w:rStyle w:val="62"/>
          <w:sz w:val="22"/>
          <w:szCs w:val="22"/>
        </w:rPr>
        <w:fldChar w:fldCharType="end"/>
      </w:r>
      <w:r>
        <w:rPr>
          <w:sz w:val="22"/>
          <w:szCs w:val="22"/>
        </w:rPr>
        <w:t>), impedimento de licitar e contratar (</w:t>
      </w:r>
      <w:r>
        <w:rPr>
          <w:sz w:val="22"/>
          <w:szCs w:val="22"/>
        </w:rPr>
        <w:fldChar w:fldCharType="begin"/>
      </w:r>
      <w:r>
        <w:rPr>
          <w:rStyle w:val="62"/>
          <w:sz w:val="22"/>
          <w:szCs w:val="22"/>
        </w:rPr>
        <w:instrText xml:space="preserve"> HYPERLINK "http://www.planalto.gov.br/ccivil_03/_ato2019-2022/2021/lei/L14133.htm" \l "art156"</w:instrText>
      </w:r>
      <w:r>
        <w:rPr>
          <w:rStyle w:val="62"/>
          <w:sz w:val="22"/>
          <w:szCs w:val="22"/>
        </w:rPr>
        <w:fldChar w:fldCharType="separate"/>
      </w:r>
      <w:r>
        <w:rPr>
          <w:rStyle w:val="62"/>
          <w:sz w:val="22"/>
          <w:szCs w:val="22"/>
        </w:rPr>
        <w:t>art. 156, III, da Lei Federal nº 14.133, de 2021</w:t>
      </w:r>
      <w:r>
        <w:rPr>
          <w:rStyle w:val="62"/>
          <w:sz w:val="22"/>
          <w:szCs w:val="22"/>
        </w:rPr>
        <w:fldChar w:fldCharType="end"/>
      </w:r>
      <w:r>
        <w:rPr>
          <w:sz w:val="22"/>
          <w:szCs w:val="22"/>
        </w:rPr>
        <w:t>) e declaração de inidoneidade para licitar ou contratar (</w:t>
      </w:r>
      <w:r>
        <w:rPr>
          <w:sz w:val="22"/>
          <w:szCs w:val="22"/>
        </w:rPr>
        <w:fldChar w:fldCharType="begin"/>
      </w:r>
      <w:r>
        <w:rPr>
          <w:rStyle w:val="62"/>
          <w:sz w:val="22"/>
          <w:szCs w:val="22"/>
        </w:rPr>
        <w:instrText xml:space="preserve"> HYPERLINK "http://www.planalto.gov.br/ccivil_03/_ato2019-2022/2021/lei/L14133.htm" \l "art156"</w:instrText>
      </w:r>
      <w:r>
        <w:rPr>
          <w:rStyle w:val="62"/>
          <w:sz w:val="22"/>
          <w:szCs w:val="22"/>
        </w:rPr>
        <w:fldChar w:fldCharType="separate"/>
      </w:r>
      <w:r>
        <w:rPr>
          <w:rStyle w:val="62"/>
          <w:sz w:val="22"/>
          <w:szCs w:val="22"/>
        </w:rPr>
        <w:t>art. 156, IV, da Lei Federal nº 14.133, de 2021</w:t>
      </w:r>
      <w:r>
        <w:rPr>
          <w:rStyle w:val="62"/>
          <w:sz w:val="22"/>
          <w:szCs w:val="22"/>
        </w:rPr>
        <w:fldChar w:fldCharType="end"/>
      </w:r>
      <w:r>
        <w:rPr>
          <w:sz w:val="22"/>
          <w:szCs w:val="22"/>
        </w:rPr>
        <w:t>) poderão ser aplicadas, cumulativamente ou não, à penalidade de multa (</w:t>
      </w:r>
      <w:r>
        <w:rPr>
          <w:sz w:val="22"/>
          <w:szCs w:val="22"/>
        </w:rPr>
        <w:fldChar w:fldCharType="begin"/>
      </w:r>
      <w:r>
        <w:rPr>
          <w:rStyle w:val="62"/>
          <w:sz w:val="22"/>
          <w:szCs w:val="22"/>
        </w:rPr>
        <w:instrText xml:space="preserve"> HYPERLINK "http://www.planalto.gov.br/ccivil_03/_ato2019-2022/2021/lei/L14133.htm" \l "art156"</w:instrText>
      </w:r>
      <w:r>
        <w:rPr>
          <w:rStyle w:val="62"/>
          <w:sz w:val="22"/>
          <w:szCs w:val="22"/>
        </w:rPr>
        <w:fldChar w:fldCharType="separate"/>
      </w:r>
      <w:r>
        <w:rPr>
          <w:rStyle w:val="62"/>
          <w:sz w:val="22"/>
          <w:szCs w:val="22"/>
        </w:rPr>
        <w:t>art. 156, II, da Lei Federal nº 14.133, de 2021</w:t>
      </w:r>
      <w:r>
        <w:rPr>
          <w:rStyle w:val="62"/>
          <w:sz w:val="22"/>
          <w:szCs w:val="22"/>
        </w:rPr>
        <w:fldChar w:fldCharType="end"/>
      </w:r>
      <w:r>
        <w:rPr>
          <w:sz w:val="22"/>
          <w:szCs w:val="22"/>
        </w:rPr>
        <w:t>).</w:t>
      </w:r>
    </w:p>
    <w:p w14:paraId="6DFEE2C6">
      <w:pPr>
        <w:pStyle w:val="32"/>
        <w:numPr>
          <w:ilvl w:val="1"/>
          <w:numId w:val="14"/>
        </w:numPr>
        <w:tabs>
          <w:tab w:val="left" w:pos="993"/>
        </w:tabs>
        <w:spacing w:before="0" w:beforeAutospacing="0" w:after="0" w:afterAutospacing="0"/>
        <w:ind w:left="0" w:firstLine="567"/>
        <w:jc w:val="both"/>
        <w:rPr>
          <w:sz w:val="22"/>
          <w:szCs w:val="22"/>
        </w:rPr>
      </w:pPr>
      <w:r>
        <w:rPr>
          <w:sz w:val="22"/>
          <w:szCs w:val="22"/>
        </w:rPr>
        <w:t xml:space="preserve">O processamento das penalidades seguirá os ditames da </w:t>
      </w:r>
      <w:r>
        <w:rPr>
          <w:sz w:val="22"/>
          <w:szCs w:val="22"/>
        </w:rPr>
        <w:fldChar w:fldCharType="begin"/>
      </w:r>
      <w:r>
        <w:rPr>
          <w:sz w:val="22"/>
          <w:szCs w:val="22"/>
        </w:rPr>
        <w:instrText xml:space="preserve"> HYPERLINK "https://www.planalto.gov.br/ccivil_03/_ato2019-2022/2021/lei/l14133.htm" \h </w:instrText>
      </w:r>
      <w:r>
        <w:rPr>
          <w:sz w:val="22"/>
          <w:szCs w:val="22"/>
        </w:rPr>
        <w:fldChar w:fldCharType="separate"/>
      </w:r>
      <w:r>
        <w:rPr>
          <w:rStyle w:val="62"/>
          <w:sz w:val="22"/>
          <w:szCs w:val="22"/>
        </w:rPr>
        <w:t>Lei Federal nº 14.133, de 2021</w:t>
      </w:r>
      <w:r>
        <w:rPr>
          <w:rStyle w:val="62"/>
          <w:sz w:val="22"/>
          <w:szCs w:val="22"/>
        </w:rPr>
        <w:fldChar w:fldCharType="end"/>
      </w:r>
      <w:r>
        <w:rPr>
          <w:sz w:val="22"/>
          <w:szCs w:val="22"/>
        </w:rPr>
        <w:t>.</w:t>
      </w:r>
    </w:p>
    <w:p w14:paraId="037EF4B9">
      <w:pPr>
        <w:pStyle w:val="32"/>
        <w:numPr>
          <w:ilvl w:val="1"/>
          <w:numId w:val="14"/>
        </w:numPr>
        <w:tabs>
          <w:tab w:val="left" w:pos="993"/>
        </w:tabs>
        <w:spacing w:before="0" w:beforeAutospacing="0" w:after="0" w:afterAutospacing="0"/>
        <w:ind w:left="0" w:firstLine="567"/>
        <w:jc w:val="both"/>
        <w:rPr>
          <w:sz w:val="22"/>
          <w:szCs w:val="22"/>
        </w:rPr>
      </w:pPr>
      <w:r>
        <w:rPr>
          <w:sz w:val="22"/>
          <w:szCs w:val="22"/>
        </w:rPr>
        <w:t>A aplicação das sanções previstas neste Contrato não exclui, em hipótese alguma, a obrigação de reparação integral do dano causado ao Contratante (</w:t>
      </w:r>
      <w:r>
        <w:rPr>
          <w:sz w:val="22"/>
          <w:szCs w:val="22"/>
        </w:rPr>
        <w:fldChar w:fldCharType="begin"/>
      </w:r>
      <w:r>
        <w:rPr>
          <w:rStyle w:val="62"/>
          <w:sz w:val="22"/>
          <w:szCs w:val="22"/>
        </w:rPr>
        <w:instrText xml:space="preserve"> HYPERLINK "http://www.planalto.gov.br/ccivil_03/_ato2019-2022/2021/lei/L14133.htm" \l "art156§9"</w:instrText>
      </w:r>
      <w:r>
        <w:rPr>
          <w:rStyle w:val="62"/>
          <w:sz w:val="22"/>
          <w:szCs w:val="22"/>
        </w:rPr>
        <w:fldChar w:fldCharType="separate"/>
      </w:r>
      <w:r>
        <w:rPr>
          <w:rStyle w:val="62"/>
          <w:sz w:val="22"/>
          <w:szCs w:val="22"/>
        </w:rPr>
        <w:t>art. 156, §9º, da Lei Federal nº 14.133, de 2021</w:t>
      </w:r>
      <w:r>
        <w:rPr>
          <w:rStyle w:val="62"/>
          <w:sz w:val="22"/>
          <w:szCs w:val="22"/>
        </w:rPr>
        <w:fldChar w:fldCharType="end"/>
      </w:r>
      <w:r>
        <w:rPr>
          <w:sz w:val="22"/>
          <w:szCs w:val="22"/>
        </w:rPr>
        <w:t>)</w:t>
      </w:r>
    </w:p>
    <w:p w14:paraId="1FB67240">
      <w:pPr>
        <w:pStyle w:val="32"/>
        <w:numPr>
          <w:ilvl w:val="1"/>
          <w:numId w:val="14"/>
        </w:numPr>
        <w:tabs>
          <w:tab w:val="left" w:pos="993"/>
        </w:tabs>
        <w:spacing w:before="0" w:beforeAutospacing="0" w:after="0" w:afterAutospacing="0"/>
        <w:ind w:left="0" w:firstLine="567"/>
        <w:jc w:val="both"/>
        <w:rPr>
          <w:sz w:val="22"/>
          <w:szCs w:val="22"/>
        </w:rPr>
      </w:pPr>
      <w:r>
        <w:rPr>
          <w:sz w:val="22"/>
          <w:szCs w:val="22"/>
        </w:rPr>
        <w:t>Se a multa aplicada e as indenizações cabíveis forem superiores ao valor do pagamento eventualmente devido pelo Contratante à Contratada, além da perda desse valor, a diferença será cobrada judicialmente (</w:t>
      </w:r>
      <w:r>
        <w:rPr>
          <w:sz w:val="22"/>
          <w:szCs w:val="22"/>
        </w:rPr>
        <w:fldChar w:fldCharType="begin"/>
      </w:r>
      <w:r>
        <w:rPr>
          <w:rStyle w:val="62"/>
          <w:sz w:val="22"/>
          <w:szCs w:val="22"/>
        </w:rPr>
        <w:instrText xml:space="preserve"> HYPERLINK "http://www.planalto.gov.br/ccivil_03/_ato2019-2022/2021/lei/L14133.htm" \l "art156§8"</w:instrText>
      </w:r>
      <w:r>
        <w:rPr>
          <w:rStyle w:val="62"/>
          <w:sz w:val="22"/>
          <w:szCs w:val="22"/>
        </w:rPr>
        <w:fldChar w:fldCharType="separate"/>
      </w:r>
      <w:r>
        <w:rPr>
          <w:rStyle w:val="62"/>
          <w:sz w:val="22"/>
          <w:szCs w:val="22"/>
        </w:rPr>
        <w:t>art. 156, §8º, da Lei Federal nº 14.133, de 2021</w:t>
      </w:r>
      <w:r>
        <w:rPr>
          <w:rStyle w:val="62"/>
          <w:sz w:val="22"/>
          <w:szCs w:val="22"/>
        </w:rPr>
        <w:fldChar w:fldCharType="end"/>
      </w:r>
      <w:r>
        <w:rPr>
          <w:sz w:val="22"/>
          <w:szCs w:val="22"/>
        </w:rPr>
        <w:t>).</w:t>
      </w:r>
    </w:p>
    <w:p w14:paraId="17D7DB3A">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Previamente ao encaminhamento à cobrança judicial, a multa poderá ser recolhida administrativamente no prazo máximo de 30 (trinta) dias úteis, a contar da data do recebimento da comunicação enviada pela autoridade competente.</w:t>
      </w:r>
      <w:bookmarkStart w:id="83" w:name="_Hlk78351618"/>
      <w:bookmarkEnd w:id="83"/>
    </w:p>
    <w:p w14:paraId="33B709A4">
      <w:pPr>
        <w:pStyle w:val="32"/>
        <w:numPr>
          <w:ilvl w:val="1"/>
          <w:numId w:val="14"/>
        </w:numPr>
        <w:tabs>
          <w:tab w:val="left" w:pos="993"/>
        </w:tabs>
        <w:spacing w:before="0" w:beforeAutospacing="0" w:after="0" w:afterAutospacing="0"/>
        <w:ind w:left="0" w:firstLine="567"/>
        <w:jc w:val="both"/>
        <w:rPr>
          <w:sz w:val="22"/>
          <w:szCs w:val="22"/>
        </w:rPr>
      </w:pPr>
      <w:r>
        <w:rPr>
          <w:color w:val="000000"/>
          <w:sz w:val="22"/>
          <w:szCs w:val="22"/>
        </w:rPr>
        <w:t xml:space="preserve">As </w:t>
      </w:r>
      <w:r>
        <w:rPr>
          <w:sz w:val="22"/>
          <w:szCs w:val="22"/>
        </w:rPr>
        <w:t>sanções</w:t>
      </w:r>
      <w:r>
        <w:rPr>
          <w:color w:val="000000"/>
          <w:sz w:val="22"/>
          <w:szCs w:val="22"/>
        </w:rPr>
        <w:t xml:space="preserve"> serão registradas e publicadas no Cadastro Nacional de Empresas Inidôneas e </w:t>
      </w:r>
      <w:r>
        <w:rPr>
          <w:color w:val="000000" w:themeColor="text1"/>
          <w:sz w:val="22"/>
          <w:szCs w:val="22"/>
          <w14:textFill>
            <w14:solidFill>
              <w14:schemeClr w14:val="tx1"/>
            </w14:solidFill>
          </w14:textFill>
        </w:rPr>
        <w:t>Suspensas</w:t>
      </w:r>
      <w:r>
        <w:rPr>
          <w:color w:val="000000"/>
          <w:sz w:val="22"/>
          <w:szCs w:val="22"/>
        </w:rPr>
        <w:t xml:space="preserve"> (Ceis) e no Cadastro Nacional de Empresas Punidas (Cnep), no prazo máximo de 15 (quinze) dias úteis, contado do trânsito em julgado da aplicação da sanção, nos termos do </w:t>
      </w:r>
      <w:r>
        <w:rPr>
          <w:sz w:val="22"/>
          <w:szCs w:val="22"/>
        </w:rPr>
        <w:fldChar w:fldCharType="begin"/>
      </w:r>
      <w:r>
        <w:rPr>
          <w:rStyle w:val="62"/>
          <w:sz w:val="22"/>
          <w:szCs w:val="22"/>
        </w:rPr>
        <w:instrText xml:space="preserve"> HYPERLINK "https://www.planalto.gov.br/ccivil_03/_ato2019-2022/2021/lei/l14133.htm" \l "art161"</w:instrText>
      </w:r>
      <w:r>
        <w:rPr>
          <w:rStyle w:val="62"/>
          <w:sz w:val="22"/>
          <w:szCs w:val="22"/>
        </w:rPr>
        <w:fldChar w:fldCharType="separate"/>
      </w:r>
      <w:r>
        <w:rPr>
          <w:rStyle w:val="62"/>
          <w:sz w:val="22"/>
          <w:szCs w:val="22"/>
        </w:rPr>
        <w:t>art. 161 da Lei Federal nº 14.133, de 2021</w:t>
      </w:r>
      <w:r>
        <w:rPr>
          <w:rStyle w:val="62"/>
          <w:sz w:val="22"/>
          <w:szCs w:val="22"/>
        </w:rPr>
        <w:fldChar w:fldCharType="end"/>
      </w:r>
      <w:r>
        <w:rPr>
          <w:color w:val="000000"/>
          <w:sz w:val="22"/>
          <w:szCs w:val="22"/>
        </w:rPr>
        <w:t>.</w:t>
      </w:r>
    </w:p>
    <w:p w14:paraId="0E4E83A7">
      <w:pPr>
        <w:pStyle w:val="32"/>
        <w:numPr>
          <w:ilvl w:val="1"/>
          <w:numId w:val="14"/>
        </w:numPr>
        <w:tabs>
          <w:tab w:val="left" w:pos="993"/>
        </w:tabs>
        <w:spacing w:before="0" w:beforeAutospacing="0" w:after="0" w:afterAutospacing="0"/>
        <w:ind w:left="0" w:firstLine="567"/>
        <w:jc w:val="both"/>
        <w:rPr>
          <w:sz w:val="22"/>
          <w:szCs w:val="22"/>
        </w:rPr>
      </w:pPr>
      <w:r>
        <w:rPr>
          <w:sz w:val="22"/>
          <w:szCs w:val="22"/>
        </w:rPr>
        <w:t xml:space="preserve">Os atos previstos como infrações administrativas na </w:t>
      </w:r>
      <w:r>
        <w:rPr>
          <w:sz w:val="22"/>
          <w:szCs w:val="22"/>
        </w:rPr>
        <w:fldChar w:fldCharType="begin"/>
      </w:r>
      <w:r>
        <w:rPr>
          <w:sz w:val="22"/>
          <w:szCs w:val="22"/>
        </w:rPr>
        <w:instrText xml:space="preserve"> HYPERLINK "http://www.planalto.gov.br/ccivil_03/_ato2019-2022/2021/lei/L14133.htm" \h </w:instrText>
      </w:r>
      <w:r>
        <w:rPr>
          <w:sz w:val="22"/>
          <w:szCs w:val="22"/>
        </w:rPr>
        <w:fldChar w:fldCharType="separate"/>
      </w:r>
      <w:r>
        <w:rPr>
          <w:rStyle w:val="62"/>
          <w:sz w:val="22"/>
          <w:szCs w:val="22"/>
        </w:rPr>
        <w:t>Lei Federal nº 14.133, de 2021</w:t>
      </w:r>
      <w:r>
        <w:rPr>
          <w:rStyle w:val="62"/>
          <w:sz w:val="22"/>
          <w:szCs w:val="22"/>
        </w:rPr>
        <w:fldChar w:fldCharType="end"/>
      </w:r>
      <w:r>
        <w:rPr>
          <w:sz w:val="22"/>
          <w:szCs w:val="22"/>
        </w:rPr>
        <w:t xml:space="preserve">, ou em outras leis de licitações e contratos da Administração Pública que também sejam tipificados como atos lesivos na </w:t>
      </w:r>
      <w:r>
        <w:rPr>
          <w:sz w:val="22"/>
          <w:szCs w:val="22"/>
        </w:rPr>
        <w:fldChar w:fldCharType="begin"/>
      </w:r>
      <w:r>
        <w:rPr>
          <w:sz w:val="22"/>
          <w:szCs w:val="22"/>
        </w:rPr>
        <w:instrText xml:space="preserve"> HYPERLINK "https://www.planalto.gov.br/ccivil_03/_ato2011-2014/2013/lei/l12846.htm" \h </w:instrText>
      </w:r>
      <w:r>
        <w:rPr>
          <w:sz w:val="22"/>
          <w:szCs w:val="22"/>
        </w:rPr>
        <w:fldChar w:fldCharType="separate"/>
      </w:r>
      <w:r>
        <w:rPr>
          <w:rStyle w:val="62"/>
          <w:sz w:val="22"/>
          <w:szCs w:val="22"/>
        </w:rPr>
        <w:t>Lei Federal nº 12.846, de 2013</w:t>
      </w:r>
      <w:r>
        <w:rPr>
          <w:rStyle w:val="62"/>
          <w:sz w:val="22"/>
          <w:szCs w:val="22"/>
        </w:rPr>
        <w:fldChar w:fldCharType="end"/>
      </w:r>
      <w:r>
        <w:rPr>
          <w:sz w:val="22"/>
          <w:szCs w:val="22"/>
        </w:rPr>
        <w:t>, serão apurados e julgados conjuntamente, nos mesmos autos, observados o rito procedimental e autoridade competente definidos. (</w:t>
      </w:r>
      <w:r>
        <w:rPr>
          <w:sz w:val="22"/>
          <w:szCs w:val="22"/>
        </w:rPr>
        <w:fldChar w:fldCharType="begin"/>
      </w:r>
      <w:r>
        <w:rPr>
          <w:rStyle w:val="62"/>
          <w:sz w:val="22"/>
          <w:szCs w:val="22"/>
        </w:rPr>
        <w:instrText xml:space="preserve"> HYPERLINK "http://www.planalto.gov.br/ccivil_03/_ato2019-2022/2021/lei/L14133.htm" \l "art159"</w:instrText>
      </w:r>
      <w:r>
        <w:rPr>
          <w:rStyle w:val="62"/>
          <w:sz w:val="22"/>
          <w:szCs w:val="22"/>
        </w:rPr>
        <w:fldChar w:fldCharType="separate"/>
      </w:r>
      <w:r>
        <w:rPr>
          <w:rStyle w:val="62"/>
          <w:sz w:val="22"/>
          <w:szCs w:val="22"/>
        </w:rPr>
        <w:t>art. 159 da Lei Federal nº 14.133, de 2021</w:t>
      </w:r>
      <w:r>
        <w:rPr>
          <w:rStyle w:val="62"/>
          <w:sz w:val="22"/>
          <w:szCs w:val="22"/>
        </w:rPr>
        <w:fldChar w:fldCharType="end"/>
      </w:r>
      <w:r>
        <w:rPr>
          <w:sz w:val="22"/>
          <w:szCs w:val="22"/>
        </w:rPr>
        <w:t>).</w:t>
      </w:r>
    </w:p>
    <w:p w14:paraId="739FA989">
      <w:pPr>
        <w:pStyle w:val="32"/>
        <w:numPr>
          <w:ilvl w:val="1"/>
          <w:numId w:val="14"/>
        </w:numPr>
        <w:tabs>
          <w:tab w:val="left" w:pos="993"/>
        </w:tabs>
        <w:spacing w:before="0" w:beforeAutospacing="0" w:after="0" w:afterAutospacing="0"/>
        <w:ind w:left="0" w:firstLine="567"/>
        <w:jc w:val="both"/>
        <w:rPr>
          <w:sz w:val="22"/>
          <w:szCs w:val="22"/>
        </w:rPr>
      </w:pPr>
      <w:r>
        <w:rPr>
          <w:sz w:val="22"/>
          <w:szCs w:val="22"/>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contratada do mesmo ramo com relação de coligação ou controle, de fato ou de direito, com a Contratada, observados, em todos os casos, o contraditório, a ampla defesa e a obrigatoriedade de análise jurídica prévia. (</w:t>
      </w:r>
      <w:r>
        <w:rPr>
          <w:sz w:val="22"/>
          <w:szCs w:val="22"/>
        </w:rPr>
        <w:fldChar w:fldCharType="begin"/>
      </w:r>
      <w:r>
        <w:rPr>
          <w:rStyle w:val="62"/>
          <w:sz w:val="22"/>
          <w:szCs w:val="22"/>
        </w:rPr>
        <w:instrText xml:space="preserve"> HYPERLINK "http://www.planalto.gov.br/ccivil_03/_ato2019-2022/2021/lei/L14133.htm" \l "art160"</w:instrText>
      </w:r>
      <w:r>
        <w:rPr>
          <w:rStyle w:val="62"/>
          <w:sz w:val="22"/>
          <w:szCs w:val="22"/>
        </w:rPr>
        <w:fldChar w:fldCharType="separate"/>
      </w:r>
      <w:r>
        <w:rPr>
          <w:rStyle w:val="62"/>
          <w:sz w:val="22"/>
          <w:szCs w:val="22"/>
        </w:rPr>
        <w:t>art. 160, da Lei Federal nº 14.133, de 2021</w:t>
      </w:r>
      <w:r>
        <w:rPr>
          <w:rStyle w:val="62"/>
          <w:sz w:val="22"/>
          <w:szCs w:val="22"/>
        </w:rPr>
        <w:fldChar w:fldCharType="end"/>
      </w:r>
      <w:r>
        <w:rPr>
          <w:sz w:val="22"/>
          <w:szCs w:val="22"/>
        </w:rPr>
        <w:t>)</w:t>
      </w:r>
    </w:p>
    <w:p w14:paraId="4803DD3D">
      <w:pPr>
        <w:pStyle w:val="32"/>
        <w:numPr>
          <w:ilvl w:val="1"/>
          <w:numId w:val="14"/>
        </w:numPr>
        <w:tabs>
          <w:tab w:val="left" w:pos="993"/>
        </w:tabs>
        <w:spacing w:before="0" w:beforeAutospacing="0" w:after="0" w:afterAutospacing="0"/>
        <w:ind w:left="0" w:firstLine="567"/>
        <w:jc w:val="both"/>
        <w:rPr>
          <w:sz w:val="22"/>
          <w:szCs w:val="22"/>
        </w:rPr>
      </w:pPr>
      <w:r>
        <w:rPr>
          <w:sz w:val="22"/>
          <w:szCs w:val="22"/>
        </w:rPr>
        <w:t xml:space="preserve">As sanções de impedimento de licitar e contratar e declaração de inidoneidade para licitar ou contratar são passíveis de reabilitação na forma do </w:t>
      </w:r>
      <w:r>
        <w:rPr>
          <w:sz w:val="22"/>
          <w:szCs w:val="22"/>
        </w:rPr>
        <w:fldChar w:fldCharType="begin"/>
      </w:r>
      <w:r>
        <w:rPr>
          <w:rStyle w:val="62"/>
          <w:sz w:val="22"/>
          <w:szCs w:val="22"/>
        </w:rPr>
        <w:instrText xml:space="preserve"> HYPERLINK "http://www.planalto.gov.br/ccivil_03/_ato2019-2022/2021/lei/L14133.htm" \l "art163"</w:instrText>
      </w:r>
      <w:r>
        <w:rPr>
          <w:rStyle w:val="62"/>
          <w:sz w:val="22"/>
          <w:szCs w:val="22"/>
        </w:rPr>
        <w:fldChar w:fldCharType="separate"/>
      </w:r>
      <w:r>
        <w:rPr>
          <w:rStyle w:val="62"/>
          <w:sz w:val="22"/>
          <w:szCs w:val="22"/>
        </w:rPr>
        <w:t>art. 163 da Lei Federal nº 14.133, de 2021.</w:t>
      </w:r>
      <w:r>
        <w:rPr>
          <w:rStyle w:val="62"/>
          <w:sz w:val="22"/>
          <w:szCs w:val="22"/>
        </w:rPr>
        <w:fldChar w:fldCharType="end"/>
      </w:r>
    </w:p>
    <w:p w14:paraId="12D9FB62">
      <w:pPr>
        <w:pStyle w:val="32"/>
        <w:numPr>
          <w:ilvl w:val="1"/>
          <w:numId w:val="14"/>
        </w:numPr>
        <w:tabs>
          <w:tab w:val="left" w:pos="993"/>
        </w:tabs>
        <w:spacing w:before="0" w:beforeAutospacing="0" w:after="0" w:afterAutospacing="0"/>
        <w:ind w:left="0" w:firstLine="567"/>
        <w:jc w:val="both"/>
        <w:rPr>
          <w:sz w:val="22"/>
          <w:szCs w:val="22"/>
        </w:rPr>
      </w:pPr>
      <w:r>
        <w:rPr>
          <w:sz w:val="22"/>
          <w:szCs w:val="22"/>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na forma da </w:t>
      </w:r>
      <w:r>
        <w:rPr>
          <w:sz w:val="22"/>
          <w:szCs w:val="22"/>
        </w:rPr>
        <w:fldChar w:fldCharType="begin"/>
      </w:r>
      <w:r>
        <w:rPr>
          <w:sz w:val="22"/>
          <w:szCs w:val="22"/>
        </w:rPr>
        <w:instrText xml:space="preserve"> HYPERLINK "https://www.gov.br/compras/pt-br/acesso-a-informacao/legislacao/instrucoes-normativas/instrucao-normativa-seges-me-no-26-de-13-de-abril-de-2022" \h </w:instrText>
      </w:r>
      <w:r>
        <w:rPr>
          <w:sz w:val="22"/>
          <w:szCs w:val="22"/>
        </w:rPr>
        <w:fldChar w:fldCharType="separate"/>
      </w:r>
      <w:r>
        <w:rPr>
          <w:rStyle w:val="62"/>
          <w:sz w:val="22"/>
          <w:szCs w:val="22"/>
        </w:rPr>
        <w:t>Instrução Normativa SEGES/ME nº 26, de 13 de abril de 2022</w:t>
      </w:r>
      <w:r>
        <w:rPr>
          <w:rStyle w:val="62"/>
          <w:sz w:val="22"/>
          <w:szCs w:val="22"/>
        </w:rPr>
        <w:fldChar w:fldCharType="end"/>
      </w:r>
      <w:r>
        <w:rPr>
          <w:sz w:val="22"/>
          <w:szCs w:val="22"/>
        </w:rPr>
        <w:t xml:space="preserve">. </w:t>
      </w:r>
    </w:p>
    <w:p w14:paraId="6FCFB32E">
      <w:pPr>
        <w:pStyle w:val="32"/>
        <w:numPr>
          <w:ilvl w:val="1"/>
          <w:numId w:val="14"/>
        </w:numPr>
        <w:tabs>
          <w:tab w:val="left" w:pos="993"/>
        </w:tabs>
        <w:spacing w:before="0" w:beforeAutospacing="0" w:after="0" w:afterAutospacing="0"/>
        <w:ind w:left="0" w:firstLine="567"/>
        <w:jc w:val="both"/>
        <w:rPr>
          <w:sz w:val="22"/>
          <w:szCs w:val="22"/>
        </w:rPr>
      </w:pPr>
    </w:p>
    <w:p w14:paraId="52072B19">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 xml:space="preserve">ALTERAÇÕES </w:t>
      </w:r>
      <w:r>
        <w:rPr>
          <w:rStyle w:val="16"/>
          <w:b w:val="0"/>
          <w:bCs w:val="0"/>
          <w:color w:val="000000"/>
          <w:sz w:val="22"/>
          <w:szCs w:val="22"/>
        </w:rPr>
        <w:t>(</w:t>
      </w:r>
      <w:r>
        <w:rPr>
          <w:sz w:val="22"/>
          <w:szCs w:val="22"/>
        </w:rPr>
        <w:fldChar w:fldCharType="begin"/>
      </w:r>
      <w:r>
        <w:rPr>
          <w:rStyle w:val="62"/>
          <w:sz w:val="22"/>
          <w:szCs w:val="22"/>
        </w:rPr>
        <w:instrText xml:space="preserve"> HYPERLINK "http://www.planalto.gov.br/ccivil_03/_ato2019-2022/2021/lei/L14133.htm" \l "art124"</w:instrText>
      </w:r>
      <w:r>
        <w:rPr>
          <w:rStyle w:val="62"/>
          <w:sz w:val="22"/>
          <w:szCs w:val="22"/>
        </w:rPr>
        <w:fldChar w:fldCharType="separate"/>
      </w:r>
      <w:r>
        <w:rPr>
          <w:rStyle w:val="62"/>
          <w:sz w:val="22"/>
          <w:szCs w:val="22"/>
        </w:rPr>
        <w:t>arts. 124 a 136 da Lei Federal nº 14.133, de 2021</w:t>
      </w:r>
      <w:r>
        <w:rPr>
          <w:rStyle w:val="62"/>
          <w:sz w:val="22"/>
          <w:szCs w:val="22"/>
        </w:rPr>
        <w:fldChar w:fldCharType="end"/>
      </w:r>
      <w:r>
        <w:rPr>
          <w:rStyle w:val="16"/>
          <w:b w:val="0"/>
          <w:bCs w:val="0"/>
          <w:color w:val="000000"/>
          <w:sz w:val="22"/>
          <w:szCs w:val="22"/>
        </w:rPr>
        <w:t>)</w:t>
      </w:r>
    </w:p>
    <w:p w14:paraId="6DD330AD">
      <w:pPr>
        <w:pStyle w:val="32"/>
        <w:numPr>
          <w:ilvl w:val="1"/>
          <w:numId w:val="14"/>
        </w:numPr>
        <w:tabs>
          <w:tab w:val="left" w:pos="993"/>
        </w:tabs>
        <w:spacing w:before="0" w:beforeAutospacing="0" w:after="0" w:afterAutospacing="0"/>
        <w:ind w:left="0" w:firstLine="567"/>
        <w:jc w:val="both"/>
        <w:rPr>
          <w:sz w:val="22"/>
          <w:szCs w:val="22"/>
        </w:rPr>
      </w:pPr>
      <w:r>
        <w:rPr>
          <w:sz w:val="22"/>
          <w:szCs w:val="22"/>
        </w:rPr>
        <w:t xml:space="preserve">Eventuais alterações contratuais reger-se-ão pela disciplina dos </w:t>
      </w:r>
      <w:r>
        <w:rPr>
          <w:sz w:val="22"/>
          <w:szCs w:val="22"/>
        </w:rPr>
        <w:fldChar w:fldCharType="begin"/>
      </w:r>
      <w:r>
        <w:rPr>
          <w:rStyle w:val="62"/>
          <w:sz w:val="22"/>
          <w:szCs w:val="22"/>
        </w:rPr>
        <w:instrText xml:space="preserve"> HYPERLINK "http://www.planalto.gov.br/ccivil_03/_ato2019-2022/2021/lei/L14133.htm" \l "art124"</w:instrText>
      </w:r>
      <w:r>
        <w:rPr>
          <w:rStyle w:val="62"/>
          <w:sz w:val="22"/>
          <w:szCs w:val="22"/>
        </w:rPr>
        <w:fldChar w:fldCharType="separate"/>
      </w:r>
      <w:r>
        <w:rPr>
          <w:rStyle w:val="62"/>
          <w:sz w:val="22"/>
          <w:szCs w:val="22"/>
        </w:rPr>
        <w:t>arts. 124 a 136 da Lei Federal nº 14.133, de 2021</w:t>
      </w:r>
      <w:r>
        <w:rPr>
          <w:rStyle w:val="62"/>
          <w:sz w:val="22"/>
          <w:szCs w:val="22"/>
        </w:rPr>
        <w:fldChar w:fldCharType="end"/>
      </w:r>
      <w:r>
        <w:rPr>
          <w:sz w:val="22"/>
          <w:szCs w:val="22"/>
        </w:rPr>
        <w:t>.</w:t>
      </w:r>
    </w:p>
    <w:p w14:paraId="1B2838D6">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é obrigada a aceitar, nas mesmas condições contratuais, os acréscimos ou supressões que se fizerem necessários, até o limite de 25% (vinte e cinco por cento) do valor inicial atualizado do contrato.</w:t>
      </w:r>
    </w:p>
    <w:p w14:paraId="689DB1A3">
      <w:pPr>
        <w:pStyle w:val="32"/>
        <w:numPr>
          <w:ilvl w:val="1"/>
          <w:numId w:val="14"/>
        </w:numPr>
        <w:tabs>
          <w:tab w:val="left" w:pos="993"/>
        </w:tabs>
        <w:spacing w:before="0" w:beforeAutospacing="0" w:after="0" w:afterAutospacing="0"/>
        <w:ind w:left="0" w:firstLine="567"/>
        <w:jc w:val="both"/>
        <w:rPr>
          <w:sz w:val="22"/>
          <w:szCs w:val="22"/>
        </w:rPr>
      </w:pPr>
      <w:r>
        <w:rPr>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Pr>
          <w:sz w:val="22"/>
          <w:szCs w:val="22"/>
        </w:rPr>
        <w:fldChar w:fldCharType="begin"/>
      </w:r>
      <w:r>
        <w:rPr>
          <w:rStyle w:val="62"/>
          <w:sz w:val="22"/>
          <w:szCs w:val="22"/>
        </w:rPr>
        <w:instrText xml:space="preserve"> HYPERLINK "http://www.planalto.gov.br/ccivil_03/_ato2019-2022/2021/lei/L14133.htm" \l "art132"</w:instrText>
      </w:r>
      <w:r>
        <w:rPr>
          <w:rStyle w:val="62"/>
          <w:sz w:val="22"/>
          <w:szCs w:val="22"/>
        </w:rPr>
        <w:fldChar w:fldCharType="separate"/>
      </w:r>
      <w:r>
        <w:rPr>
          <w:rStyle w:val="62"/>
          <w:sz w:val="22"/>
          <w:szCs w:val="22"/>
        </w:rPr>
        <w:t>art. 132 da Lei Federal nº 14.133, de 2021</w:t>
      </w:r>
      <w:r>
        <w:rPr>
          <w:rStyle w:val="62"/>
          <w:sz w:val="22"/>
          <w:szCs w:val="22"/>
        </w:rPr>
        <w:fldChar w:fldCharType="end"/>
      </w:r>
      <w:r>
        <w:rPr>
          <w:sz w:val="22"/>
          <w:szCs w:val="22"/>
        </w:rPr>
        <w:t>).</w:t>
      </w:r>
    </w:p>
    <w:p w14:paraId="41F377DE">
      <w:pPr>
        <w:pStyle w:val="32"/>
        <w:numPr>
          <w:ilvl w:val="1"/>
          <w:numId w:val="14"/>
        </w:numPr>
        <w:tabs>
          <w:tab w:val="left" w:pos="993"/>
        </w:tabs>
        <w:spacing w:before="0" w:beforeAutospacing="0" w:after="0" w:afterAutospacing="0"/>
        <w:ind w:left="0" w:firstLine="567"/>
        <w:jc w:val="both"/>
        <w:rPr>
          <w:sz w:val="22"/>
          <w:szCs w:val="22"/>
        </w:rPr>
      </w:pPr>
      <w:r>
        <w:rPr>
          <w:sz w:val="22"/>
          <w:szCs w:val="22"/>
        </w:rPr>
        <w:t xml:space="preserve">Registros que não caracterizam alteração do contrato podem ser realizados por simples apostila, dispensada a celebração de termo aditivo, na forma do </w:t>
      </w:r>
      <w:r>
        <w:rPr>
          <w:sz w:val="22"/>
          <w:szCs w:val="22"/>
        </w:rPr>
        <w:fldChar w:fldCharType="begin"/>
      </w:r>
      <w:r>
        <w:rPr>
          <w:rStyle w:val="62"/>
          <w:sz w:val="22"/>
          <w:szCs w:val="22"/>
        </w:rPr>
        <w:instrText xml:space="preserve"> HYPERLINK "http://www.planalto.gov.br/ccivil_03/_ato2019-2022/2021/lei/L14133.htm" \l "art136"</w:instrText>
      </w:r>
      <w:r>
        <w:rPr>
          <w:rStyle w:val="62"/>
          <w:sz w:val="22"/>
          <w:szCs w:val="22"/>
        </w:rPr>
        <w:fldChar w:fldCharType="separate"/>
      </w:r>
      <w:r>
        <w:rPr>
          <w:rStyle w:val="62"/>
          <w:sz w:val="22"/>
          <w:szCs w:val="22"/>
        </w:rPr>
        <w:t>art. 136 da Lei Federal nº 14.133, de 2021</w:t>
      </w:r>
      <w:r>
        <w:rPr>
          <w:rStyle w:val="62"/>
          <w:sz w:val="22"/>
          <w:szCs w:val="22"/>
        </w:rPr>
        <w:fldChar w:fldCharType="end"/>
      </w:r>
      <w:r>
        <w:rPr>
          <w:sz w:val="22"/>
          <w:szCs w:val="22"/>
        </w:rPr>
        <w:t>.</w:t>
      </w:r>
    </w:p>
    <w:p w14:paraId="73EA0A94">
      <w:pPr>
        <w:pStyle w:val="32"/>
        <w:numPr>
          <w:ilvl w:val="1"/>
          <w:numId w:val="14"/>
        </w:numPr>
        <w:tabs>
          <w:tab w:val="left" w:pos="993"/>
        </w:tabs>
        <w:spacing w:before="0" w:beforeAutospacing="0" w:after="0" w:afterAutospacing="0"/>
        <w:ind w:left="0" w:firstLine="567"/>
        <w:jc w:val="both"/>
        <w:rPr>
          <w:sz w:val="22"/>
          <w:szCs w:val="22"/>
        </w:rPr>
      </w:pPr>
    </w:p>
    <w:p w14:paraId="3F0C0E30">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DA EXTINÇÃO CONTRATUAL</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XIX</w:t>
      </w:r>
      <w:r>
        <w:rPr>
          <w:rStyle w:val="62"/>
          <w:sz w:val="22"/>
          <w:szCs w:val="22"/>
        </w:rPr>
        <w:fldChar w:fldCharType="end"/>
      </w:r>
      <w:r>
        <w:rPr>
          <w:rStyle w:val="62"/>
          <w:sz w:val="22"/>
          <w:szCs w:val="22"/>
        </w:rPr>
        <w:t>, da Lei Federal nº 14.133, de 2021</w:t>
      </w:r>
      <w:r>
        <w:rPr>
          <w:sz w:val="22"/>
          <w:szCs w:val="22"/>
        </w:rPr>
        <w:t>)</w:t>
      </w:r>
    </w:p>
    <w:p w14:paraId="057673BC">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será extinto quando cumpridas as obrigações de ambas as partes, ainda que isso ocorra antes do prazo estipulado para tanto.</w:t>
      </w:r>
    </w:p>
    <w:p w14:paraId="60D714D9">
      <w:pPr>
        <w:pStyle w:val="32"/>
        <w:numPr>
          <w:ilvl w:val="1"/>
          <w:numId w:val="14"/>
        </w:numPr>
        <w:tabs>
          <w:tab w:val="left" w:pos="993"/>
        </w:tabs>
        <w:spacing w:before="0" w:beforeAutospacing="0" w:after="0" w:afterAutospacing="0"/>
        <w:ind w:left="0" w:firstLine="567"/>
        <w:jc w:val="both"/>
        <w:rPr>
          <w:sz w:val="22"/>
          <w:szCs w:val="22"/>
        </w:rPr>
      </w:pPr>
      <w:r>
        <w:rPr>
          <w:sz w:val="22"/>
          <w:szCs w:val="22"/>
        </w:rPr>
        <w:t>Se as obrigações não forem cumpridas no prazo estipulado, a vigência ficará prorrogada automaticamente até a conclusão do objeto, caso em que deverá a Administração providenciar a readequação do cronograma fixado para o contrato. (</w:t>
      </w:r>
      <w:r>
        <w:rPr>
          <w:sz w:val="22"/>
          <w:szCs w:val="22"/>
        </w:rPr>
        <w:fldChar w:fldCharType="begin"/>
      </w:r>
      <w:r>
        <w:rPr>
          <w:rStyle w:val="62"/>
          <w:sz w:val="22"/>
          <w:szCs w:val="22"/>
        </w:rPr>
        <w:instrText xml:space="preserve"> HYPERLINK "http://www.planalto.gov.br/ccivil_03/_ato2019-2022/2021/lei/L14133.htm" \l "art163"</w:instrText>
      </w:r>
      <w:r>
        <w:rPr>
          <w:rStyle w:val="62"/>
          <w:sz w:val="22"/>
          <w:szCs w:val="22"/>
        </w:rPr>
        <w:fldChar w:fldCharType="separate"/>
      </w:r>
      <w:r>
        <w:rPr>
          <w:rStyle w:val="62"/>
          <w:sz w:val="22"/>
          <w:szCs w:val="22"/>
        </w:rPr>
        <w:t>art. 111 da Lei Federal nº 14.133, de 2021</w:t>
      </w:r>
      <w:r>
        <w:rPr>
          <w:rStyle w:val="62"/>
          <w:sz w:val="22"/>
          <w:szCs w:val="22"/>
        </w:rPr>
        <w:fldChar w:fldCharType="end"/>
      </w:r>
      <w:r>
        <w:rPr>
          <w:sz w:val="22"/>
          <w:szCs w:val="22"/>
        </w:rPr>
        <w:t>)</w:t>
      </w:r>
    </w:p>
    <w:p w14:paraId="70CC472D">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Quando a não conclusão do contrato referida no item anterior decorrer de culpa da Contratada:</w:t>
      </w:r>
    </w:p>
    <w:p w14:paraId="56A71B61">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ficará ele constituído em mora, sendo-lhe aplicáveis as respectivas sanções administrativas; e</w:t>
      </w:r>
    </w:p>
    <w:p w14:paraId="70682622">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poderá a Administração optar pela extinção do contrato e, nesse caso, adotará as medidas admitidas em lei para a continuidade da execução contratual.</w:t>
      </w:r>
    </w:p>
    <w:p w14:paraId="1C5BEA2E">
      <w:pPr>
        <w:pStyle w:val="32"/>
        <w:numPr>
          <w:ilvl w:val="1"/>
          <w:numId w:val="14"/>
        </w:numPr>
        <w:tabs>
          <w:tab w:val="left" w:pos="993"/>
        </w:tabs>
        <w:spacing w:before="0" w:beforeAutospacing="0" w:after="0" w:afterAutospacing="0"/>
        <w:ind w:left="0" w:firstLine="567"/>
        <w:jc w:val="both"/>
        <w:rPr>
          <w:sz w:val="22"/>
          <w:szCs w:val="22"/>
        </w:rPr>
      </w:pPr>
      <w:r>
        <w:rPr>
          <w:sz w:val="22"/>
          <w:szCs w:val="22"/>
        </w:rPr>
        <w:t xml:space="preserve">O contrato poderá ser extinto antes de cumpridas as obrigações nele estipuladas, ou antes do prazo nele fixado, por algum dos motivos previstos no </w:t>
      </w:r>
      <w:r>
        <w:rPr>
          <w:sz w:val="22"/>
          <w:szCs w:val="22"/>
        </w:rPr>
        <w:fldChar w:fldCharType="begin"/>
      </w:r>
      <w:r>
        <w:rPr>
          <w:rStyle w:val="62"/>
          <w:sz w:val="22"/>
          <w:szCs w:val="22"/>
        </w:rPr>
        <w:instrText xml:space="preserve"> HYPERLINK "http://www.planalto.gov.br/ccivil_03/_ato2019-2022/2021/lei/L14133.htm" \l "art137"</w:instrText>
      </w:r>
      <w:r>
        <w:rPr>
          <w:rStyle w:val="62"/>
          <w:sz w:val="22"/>
          <w:szCs w:val="22"/>
        </w:rPr>
        <w:fldChar w:fldCharType="separate"/>
      </w:r>
      <w:r>
        <w:rPr>
          <w:rStyle w:val="62"/>
          <w:sz w:val="22"/>
          <w:szCs w:val="22"/>
        </w:rPr>
        <w:t>artigo 137 da Lei Federal nº 14.133/21</w:t>
      </w:r>
      <w:r>
        <w:rPr>
          <w:rStyle w:val="62"/>
          <w:sz w:val="22"/>
          <w:szCs w:val="22"/>
        </w:rPr>
        <w:fldChar w:fldCharType="end"/>
      </w:r>
      <w:r>
        <w:rPr>
          <w:sz w:val="22"/>
          <w:szCs w:val="22"/>
        </w:rPr>
        <w:t xml:space="preserve">, bem como amigavelmente, </w:t>
      </w:r>
      <w:r>
        <w:rPr>
          <w:color w:val="000000" w:themeColor="text1"/>
          <w:sz w:val="22"/>
          <w:szCs w:val="22"/>
          <w14:textFill>
            <w14:solidFill>
              <w14:schemeClr w14:val="tx1"/>
            </w14:solidFill>
          </w14:textFill>
        </w:rPr>
        <w:t xml:space="preserve">assegurados o contraditório e a ampla defesa, </w:t>
      </w:r>
      <w:r>
        <w:rPr>
          <w:sz w:val="22"/>
          <w:szCs w:val="22"/>
        </w:rPr>
        <w:t xml:space="preserve">aplicando-se também os </w:t>
      </w:r>
      <w:r>
        <w:rPr>
          <w:sz w:val="22"/>
          <w:szCs w:val="22"/>
        </w:rPr>
        <w:fldChar w:fldCharType="begin"/>
      </w:r>
      <w:r>
        <w:rPr>
          <w:rStyle w:val="62"/>
          <w:sz w:val="22"/>
          <w:szCs w:val="22"/>
        </w:rPr>
        <w:instrText xml:space="preserve"> HYPERLINK "http://www.planalto.gov.br/ccivil_03/_ato2019-2022/2021/lei/L14133.htm" \l "art138"</w:instrText>
      </w:r>
      <w:r>
        <w:rPr>
          <w:rStyle w:val="62"/>
          <w:sz w:val="22"/>
          <w:szCs w:val="22"/>
        </w:rPr>
        <w:fldChar w:fldCharType="separate"/>
      </w:r>
      <w:r>
        <w:rPr>
          <w:rStyle w:val="62"/>
          <w:sz w:val="22"/>
          <w:szCs w:val="22"/>
        </w:rPr>
        <w:t>artigos 138 e 139</w:t>
      </w:r>
      <w:r>
        <w:rPr>
          <w:rStyle w:val="62"/>
          <w:sz w:val="22"/>
          <w:szCs w:val="22"/>
        </w:rPr>
        <w:fldChar w:fldCharType="end"/>
      </w:r>
      <w:r>
        <w:rPr>
          <w:rStyle w:val="62"/>
          <w:sz w:val="22"/>
          <w:szCs w:val="22"/>
        </w:rPr>
        <w:t xml:space="preserve"> da Lei Federal nº 14.133, de 2021</w:t>
      </w:r>
      <w:r>
        <w:rPr>
          <w:sz w:val="22"/>
          <w:szCs w:val="22"/>
        </w:rPr>
        <w:t>.</w:t>
      </w:r>
    </w:p>
    <w:p w14:paraId="1D600F1A">
      <w:pPr>
        <w:pStyle w:val="32"/>
        <w:numPr>
          <w:ilvl w:val="1"/>
          <w:numId w:val="14"/>
        </w:numPr>
        <w:tabs>
          <w:tab w:val="left" w:pos="993"/>
        </w:tabs>
        <w:spacing w:before="0" w:beforeAutospacing="0" w:after="0" w:afterAutospacing="0"/>
        <w:ind w:left="0" w:firstLine="567"/>
        <w:jc w:val="both"/>
        <w:rPr>
          <w:sz w:val="22"/>
          <w:szCs w:val="22"/>
        </w:rPr>
      </w:pPr>
      <w:r>
        <w:rPr>
          <w:sz w:val="22"/>
          <w:szCs w:val="22"/>
        </w:rPr>
        <w:t>A alteração social ou a modificação da finalidade ou da estrutura da contratada não ensejará a extinção se não restringir sua capacidade de concluir o contrato. (</w:t>
      </w:r>
      <w:r>
        <w:rPr>
          <w:sz w:val="22"/>
          <w:szCs w:val="22"/>
        </w:rPr>
        <w:fldChar w:fldCharType="begin"/>
      </w:r>
      <w:r>
        <w:rPr>
          <w:rStyle w:val="62"/>
          <w:sz w:val="22"/>
          <w:szCs w:val="22"/>
        </w:rPr>
        <w:instrText xml:space="preserve"> HYPERLINK "http://www.planalto.gov.br/ccivil_03/_ato2019-2022/2021/lei/L14133.htm" \l "art137"</w:instrText>
      </w:r>
      <w:r>
        <w:rPr>
          <w:rStyle w:val="62"/>
          <w:sz w:val="22"/>
          <w:szCs w:val="22"/>
        </w:rPr>
        <w:fldChar w:fldCharType="separate"/>
      </w:r>
      <w:r>
        <w:rPr>
          <w:rStyle w:val="62"/>
          <w:sz w:val="22"/>
          <w:szCs w:val="22"/>
        </w:rPr>
        <w:t>art. 137, III, da Lei Federal nº 14.133, de 2021</w:t>
      </w:r>
      <w:r>
        <w:rPr>
          <w:rStyle w:val="62"/>
          <w:sz w:val="22"/>
          <w:szCs w:val="22"/>
        </w:rPr>
        <w:fldChar w:fldCharType="end"/>
      </w:r>
      <w:r>
        <w:rPr>
          <w:sz w:val="22"/>
          <w:szCs w:val="22"/>
        </w:rPr>
        <w:t>)</w:t>
      </w:r>
    </w:p>
    <w:p w14:paraId="5A354912">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Se a operação </w:t>
      </w:r>
      <w:r>
        <w:rPr>
          <w:sz w:val="22"/>
          <w:szCs w:val="22"/>
        </w:rPr>
        <w:t>implicar mudança da pessoa jurídica contratada, deverá ser formalizado termo aditivo para alteração subjetiva.</w:t>
      </w:r>
    </w:p>
    <w:p w14:paraId="52E834A8">
      <w:pPr>
        <w:pStyle w:val="32"/>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termo de extinção, sempre que possível, será precedido:</w:t>
      </w:r>
    </w:p>
    <w:p w14:paraId="64316CF6">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Balanço dos eventos contratuais já cumpridos ou parcialmente cumpridos;</w:t>
      </w:r>
    </w:p>
    <w:p w14:paraId="2880E111">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Relação dos pagamentos já efetuados e ainda devidos;</w:t>
      </w:r>
    </w:p>
    <w:p w14:paraId="53B3493D">
      <w:pPr>
        <w:pStyle w:val="32"/>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Indenizações e multas.</w:t>
      </w:r>
    </w:p>
    <w:p w14:paraId="35ECEF9B">
      <w:pPr>
        <w:pStyle w:val="32"/>
        <w:numPr>
          <w:ilvl w:val="1"/>
          <w:numId w:val="14"/>
        </w:numPr>
        <w:tabs>
          <w:tab w:val="left" w:pos="993"/>
        </w:tabs>
        <w:spacing w:before="0" w:beforeAutospacing="0" w:after="0" w:afterAutospacing="0"/>
        <w:ind w:left="0" w:firstLine="567"/>
        <w:jc w:val="both"/>
        <w:rPr>
          <w:sz w:val="22"/>
          <w:szCs w:val="22"/>
        </w:rPr>
      </w:pPr>
      <w:r>
        <w:rPr>
          <w:sz w:val="22"/>
          <w:szCs w:val="22"/>
        </w:rPr>
        <w:t>A extinção do contrato não configura óbice para o reconhecimento do desequilíbrio econômico-financeiro, hipótese em que será concedida indenização por meio de termo indenizatório (</w:t>
      </w:r>
      <w:r>
        <w:rPr>
          <w:sz w:val="22"/>
          <w:szCs w:val="22"/>
        </w:rPr>
        <w:fldChar w:fldCharType="begin"/>
      </w:r>
      <w:r>
        <w:rPr>
          <w:rStyle w:val="62"/>
          <w:sz w:val="22"/>
          <w:szCs w:val="22"/>
        </w:rPr>
        <w:instrText xml:space="preserve"> HYPERLINK "http://www.planalto.gov.br/ccivil_03/_ato2019-2022/2021/lei/L14133.htm" \l "art131"</w:instrText>
      </w:r>
      <w:r>
        <w:rPr>
          <w:rStyle w:val="62"/>
          <w:sz w:val="22"/>
          <w:szCs w:val="22"/>
        </w:rPr>
        <w:fldChar w:fldCharType="separate"/>
      </w:r>
      <w:r>
        <w:rPr>
          <w:rStyle w:val="62"/>
          <w:sz w:val="22"/>
          <w:szCs w:val="22"/>
        </w:rPr>
        <w:t xml:space="preserve">art. 131, </w:t>
      </w:r>
      <w:r>
        <w:rPr>
          <w:rStyle w:val="62"/>
          <w:sz w:val="22"/>
          <w:szCs w:val="22"/>
        </w:rPr>
        <w:fldChar w:fldCharType="end"/>
      </w:r>
      <w:r>
        <w:rPr>
          <w:rStyle w:val="62"/>
          <w:i/>
          <w:iCs/>
          <w:sz w:val="22"/>
          <w:szCs w:val="22"/>
        </w:rPr>
        <w:t xml:space="preserve">caput, </w:t>
      </w:r>
      <w:r>
        <w:rPr>
          <w:rStyle w:val="62"/>
          <w:sz w:val="22"/>
          <w:szCs w:val="22"/>
        </w:rPr>
        <w:t>da Lei Federal nº 14.133, de 2021).</w:t>
      </w:r>
      <w:r>
        <w:rPr>
          <w:sz w:val="22"/>
          <w:szCs w:val="22"/>
        </w:rPr>
        <w:t xml:space="preserve"> </w:t>
      </w:r>
    </w:p>
    <w:p w14:paraId="064044E9">
      <w:pPr>
        <w:pStyle w:val="32"/>
        <w:numPr>
          <w:ilvl w:val="1"/>
          <w:numId w:val="14"/>
        </w:numPr>
        <w:tabs>
          <w:tab w:val="left" w:pos="993"/>
        </w:tabs>
        <w:spacing w:before="0" w:beforeAutospacing="0" w:after="0" w:afterAutospacing="0"/>
        <w:ind w:left="0" w:firstLine="567"/>
        <w:jc w:val="both"/>
        <w:rPr>
          <w:sz w:val="22"/>
          <w:szCs w:val="22"/>
        </w:rPr>
      </w:pPr>
      <w:r>
        <w:rPr>
          <w:sz w:val="22"/>
          <w:szCs w:val="22"/>
        </w:rPr>
        <w:t>O contrato poderá ser extinto caso se constate que a Contratada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w:t>
      </w:r>
      <w:r>
        <w:rPr>
          <w:sz w:val="22"/>
          <w:szCs w:val="22"/>
        </w:rPr>
        <w:fldChar w:fldCharType="begin"/>
      </w:r>
      <w:r>
        <w:rPr>
          <w:rStyle w:val="62"/>
          <w:sz w:val="22"/>
          <w:szCs w:val="22"/>
        </w:rPr>
        <w:instrText xml:space="preserve"> HYPERLINK "http://www.planalto.gov.br/ccivil_03/_ato2019-2022/2021/lei/L14133.htm" \l "art14"</w:instrText>
      </w:r>
      <w:r>
        <w:rPr>
          <w:rStyle w:val="62"/>
          <w:sz w:val="22"/>
          <w:szCs w:val="22"/>
        </w:rPr>
        <w:fldChar w:fldCharType="separate"/>
      </w:r>
      <w:r>
        <w:rPr>
          <w:rStyle w:val="62"/>
          <w:sz w:val="22"/>
          <w:szCs w:val="22"/>
        </w:rPr>
        <w:t>art. 14, inciso IV, da Lei Federal nº 14.133, de 2021</w:t>
      </w:r>
      <w:r>
        <w:rPr>
          <w:rStyle w:val="62"/>
          <w:sz w:val="22"/>
          <w:szCs w:val="22"/>
        </w:rPr>
        <w:fldChar w:fldCharType="end"/>
      </w:r>
      <w:r>
        <w:rPr>
          <w:sz w:val="22"/>
          <w:szCs w:val="22"/>
        </w:rPr>
        <w:t>).</w:t>
      </w:r>
    </w:p>
    <w:p w14:paraId="7EFC410A">
      <w:pPr>
        <w:pStyle w:val="32"/>
        <w:numPr>
          <w:ilvl w:val="0"/>
          <w:numId w:val="0"/>
        </w:numPr>
        <w:tabs>
          <w:tab w:val="left" w:pos="993"/>
        </w:tabs>
        <w:spacing w:before="0" w:beforeAutospacing="0" w:after="0" w:afterAutospacing="0"/>
        <w:ind w:left="0" w:firstLine="0"/>
        <w:jc w:val="both"/>
        <w:rPr>
          <w:rFonts w:ascii="Times New Roman" w:hAnsi="Times New Roman"/>
          <w:sz w:val="22"/>
          <w:szCs w:val="22"/>
        </w:rPr>
      </w:pPr>
    </w:p>
    <w:p w14:paraId="1C21C510">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DOS CASOS OMISSOS</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III</w:t>
      </w:r>
      <w:r>
        <w:rPr>
          <w:rStyle w:val="62"/>
          <w:sz w:val="22"/>
          <w:szCs w:val="22"/>
        </w:rPr>
        <w:fldChar w:fldCharType="end"/>
      </w:r>
      <w:r>
        <w:rPr>
          <w:rStyle w:val="62"/>
          <w:sz w:val="22"/>
          <w:szCs w:val="22"/>
        </w:rPr>
        <w:t>, da Lei Federal nº 14.133, de 2021</w:t>
      </w:r>
      <w:r>
        <w:rPr>
          <w:sz w:val="22"/>
          <w:szCs w:val="22"/>
        </w:rPr>
        <w:t>)</w:t>
      </w:r>
    </w:p>
    <w:p w14:paraId="4EF3FDF2">
      <w:pPr>
        <w:pStyle w:val="32"/>
        <w:numPr>
          <w:ilvl w:val="1"/>
          <w:numId w:val="14"/>
        </w:numPr>
        <w:tabs>
          <w:tab w:val="left" w:pos="993"/>
        </w:tabs>
        <w:spacing w:before="0" w:beforeAutospacing="0" w:after="0" w:afterAutospacing="0"/>
        <w:ind w:left="0" w:firstLine="567"/>
        <w:jc w:val="both"/>
        <w:rPr>
          <w:sz w:val="22"/>
          <w:szCs w:val="22"/>
        </w:rPr>
      </w:pPr>
      <w:r>
        <w:rPr>
          <w:sz w:val="22"/>
          <w:szCs w:val="22"/>
        </w:rPr>
        <w:t xml:space="preserve">Os casos omissos serão decididos pelo Contratante, segundo as disposições contidas na </w:t>
      </w:r>
      <w:r>
        <w:rPr>
          <w:sz w:val="22"/>
          <w:szCs w:val="22"/>
        </w:rPr>
        <w:fldChar w:fldCharType="begin"/>
      </w:r>
      <w:r>
        <w:rPr>
          <w:sz w:val="22"/>
          <w:szCs w:val="22"/>
        </w:rPr>
        <w:instrText xml:space="preserve"> HYPERLINK "http://www.planalto.gov.br/ccivil_03/_ato2019-2022/2021/lei/L14133.htm" \h </w:instrText>
      </w:r>
      <w:r>
        <w:rPr>
          <w:sz w:val="22"/>
          <w:szCs w:val="22"/>
        </w:rPr>
        <w:fldChar w:fldCharType="separate"/>
      </w:r>
      <w:r>
        <w:rPr>
          <w:rStyle w:val="62"/>
          <w:sz w:val="22"/>
          <w:szCs w:val="22"/>
        </w:rPr>
        <w:t>Lei Federal nº 14.133, de 2021</w:t>
      </w:r>
      <w:r>
        <w:rPr>
          <w:rStyle w:val="62"/>
          <w:sz w:val="22"/>
          <w:szCs w:val="22"/>
        </w:rPr>
        <w:fldChar w:fldCharType="end"/>
      </w:r>
      <w:r>
        <w:rPr>
          <w:sz w:val="22"/>
          <w:szCs w:val="22"/>
        </w:rPr>
        <w:t xml:space="preserve">, e demais normas federais aplicáveis e, subsidiariamente, segundo as disposições contidas na </w:t>
      </w:r>
      <w:r>
        <w:rPr>
          <w:sz w:val="22"/>
          <w:szCs w:val="22"/>
        </w:rPr>
        <w:fldChar w:fldCharType="begin"/>
      </w:r>
      <w:r>
        <w:rPr>
          <w:sz w:val="22"/>
          <w:szCs w:val="22"/>
        </w:rPr>
        <w:instrText xml:space="preserve"> HYPERLINK "https://www.planalto.gov.br/ccivil_03/leis/l8078compilado.htm" \h </w:instrText>
      </w:r>
      <w:r>
        <w:rPr>
          <w:sz w:val="22"/>
          <w:szCs w:val="22"/>
        </w:rPr>
        <w:fldChar w:fldCharType="separate"/>
      </w:r>
      <w:r>
        <w:rPr>
          <w:rStyle w:val="62"/>
          <w:sz w:val="22"/>
          <w:szCs w:val="22"/>
        </w:rPr>
        <w:t>Lei Federal nº 8.078, de 1990 - Código de Defesa do Consumidor</w:t>
      </w:r>
      <w:r>
        <w:rPr>
          <w:rStyle w:val="62"/>
          <w:sz w:val="22"/>
          <w:szCs w:val="22"/>
        </w:rPr>
        <w:fldChar w:fldCharType="end"/>
      </w:r>
      <w:r>
        <w:rPr>
          <w:sz w:val="22"/>
          <w:szCs w:val="22"/>
        </w:rPr>
        <w:t xml:space="preserve"> - e normas e princípios gerais dos contratos.</w:t>
      </w:r>
    </w:p>
    <w:p w14:paraId="5EC34B9A">
      <w:pPr>
        <w:pStyle w:val="32"/>
        <w:numPr>
          <w:ilvl w:val="1"/>
          <w:numId w:val="14"/>
        </w:numPr>
        <w:tabs>
          <w:tab w:val="left" w:pos="993"/>
        </w:tabs>
        <w:spacing w:before="0" w:beforeAutospacing="0" w:after="0" w:afterAutospacing="0"/>
        <w:ind w:left="0" w:firstLine="567"/>
        <w:jc w:val="both"/>
        <w:rPr>
          <w:sz w:val="22"/>
          <w:szCs w:val="22"/>
        </w:rPr>
      </w:pPr>
    </w:p>
    <w:p w14:paraId="5D7BC23C">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 xml:space="preserve">PUBLICAÇÃO </w:t>
      </w:r>
      <w:r>
        <w:rPr>
          <w:rStyle w:val="16"/>
          <w:b w:val="0"/>
          <w:bCs w:val="0"/>
          <w:color w:val="000000"/>
          <w:sz w:val="22"/>
          <w:szCs w:val="22"/>
        </w:rPr>
        <w:t>(</w:t>
      </w:r>
      <w:r>
        <w:rPr>
          <w:sz w:val="22"/>
          <w:szCs w:val="22"/>
        </w:rPr>
        <w:fldChar w:fldCharType="begin"/>
      </w:r>
      <w:r>
        <w:rPr>
          <w:rStyle w:val="62"/>
          <w:sz w:val="22"/>
          <w:szCs w:val="22"/>
        </w:rPr>
        <w:instrText xml:space="preserve"> HYPERLINK "http://www.planalto.gov.br/ccivil_03/_ato2019-2022/2021/lei/L14133.htm" \l "art94"</w:instrText>
      </w:r>
      <w:r>
        <w:rPr>
          <w:rStyle w:val="62"/>
          <w:sz w:val="22"/>
          <w:szCs w:val="22"/>
        </w:rPr>
        <w:fldChar w:fldCharType="separate"/>
      </w:r>
      <w:r>
        <w:rPr>
          <w:rStyle w:val="62"/>
          <w:sz w:val="22"/>
          <w:szCs w:val="22"/>
        </w:rPr>
        <w:t>art. 94 da Lei Federal nº 14.133, de 2021</w:t>
      </w:r>
      <w:r>
        <w:rPr>
          <w:rStyle w:val="62"/>
          <w:sz w:val="22"/>
          <w:szCs w:val="22"/>
        </w:rPr>
        <w:fldChar w:fldCharType="end"/>
      </w:r>
      <w:r>
        <w:rPr>
          <w:rStyle w:val="16"/>
          <w:b w:val="0"/>
          <w:bCs w:val="0"/>
          <w:color w:val="000000"/>
          <w:sz w:val="22"/>
          <w:szCs w:val="22"/>
        </w:rPr>
        <w:t>)</w:t>
      </w:r>
    </w:p>
    <w:p w14:paraId="031291F9">
      <w:pPr>
        <w:pStyle w:val="32"/>
        <w:numPr>
          <w:ilvl w:val="1"/>
          <w:numId w:val="14"/>
        </w:numPr>
        <w:tabs>
          <w:tab w:val="left" w:pos="993"/>
        </w:tabs>
        <w:spacing w:before="0" w:beforeAutospacing="0" w:after="0" w:afterAutospacing="0"/>
        <w:ind w:left="0" w:firstLine="567"/>
        <w:jc w:val="both"/>
        <w:rPr>
          <w:sz w:val="22"/>
          <w:szCs w:val="22"/>
        </w:rPr>
      </w:pPr>
      <w:r>
        <w:rPr>
          <w:sz w:val="22"/>
          <w:szCs w:val="22"/>
        </w:rPr>
        <w:t>Incumbirá ao Contratante divulgar o presente instrumento no Portal Nacional de Contratações Públicas - PNCP (</w:t>
      </w:r>
      <w:r>
        <w:rPr>
          <w:sz w:val="22"/>
          <w:szCs w:val="22"/>
        </w:rPr>
        <w:fldChar w:fldCharType="begin"/>
      </w:r>
      <w:r>
        <w:rPr>
          <w:sz w:val="22"/>
          <w:szCs w:val="22"/>
        </w:rPr>
        <w:instrText xml:space="preserve"> HYPERLINK "https://pncp.gov.br/" \h </w:instrText>
      </w:r>
      <w:r>
        <w:rPr>
          <w:sz w:val="22"/>
          <w:szCs w:val="22"/>
        </w:rPr>
        <w:fldChar w:fldCharType="separate"/>
      </w:r>
      <w:r>
        <w:rPr>
          <w:rStyle w:val="62"/>
          <w:sz w:val="22"/>
          <w:szCs w:val="22"/>
        </w:rPr>
        <w:t>https://pncp.gov.br/</w:t>
      </w:r>
      <w:r>
        <w:rPr>
          <w:rStyle w:val="62"/>
          <w:sz w:val="22"/>
          <w:szCs w:val="22"/>
        </w:rPr>
        <w:fldChar w:fldCharType="end"/>
      </w:r>
      <w:r>
        <w:rPr>
          <w:sz w:val="22"/>
          <w:szCs w:val="22"/>
        </w:rPr>
        <w:t xml:space="preserve">), na forma prevista no </w:t>
      </w:r>
      <w:r>
        <w:rPr>
          <w:sz w:val="22"/>
          <w:szCs w:val="22"/>
        </w:rPr>
        <w:fldChar w:fldCharType="begin"/>
      </w:r>
      <w:r>
        <w:rPr>
          <w:rStyle w:val="62"/>
          <w:sz w:val="22"/>
          <w:szCs w:val="22"/>
        </w:rPr>
        <w:instrText xml:space="preserve"> HYPERLINK "http://www.planalto.gov.br/ccivil_03/_ato2019-2022/2021/lei/L14133.htm" \l "art94"</w:instrText>
      </w:r>
      <w:r>
        <w:rPr>
          <w:rStyle w:val="62"/>
          <w:sz w:val="22"/>
          <w:szCs w:val="22"/>
        </w:rPr>
        <w:fldChar w:fldCharType="separate"/>
      </w:r>
      <w:r>
        <w:rPr>
          <w:rStyle w:val="62"/>
          <w:sz w:val="22"/>
          <w:szCs w:val="22"/>
        </w:rPr>
        <w:t>art. 94 da Lei Federal nº 14.133, de 2021</w:t>
      </w:r>
      <w:r>
        <w:rPr>
          <w:rStyle w:val="62"/>
          <w:sz w:val="22"/>
          <w:szCs w:val="22"/>
        </w:rPr>
        <w:fldChar w:fldCharType="end"/>
      </w:r>
      <w:r>
        <w:rPr>
          <w:sz w:val="22"/>
          <w:szCs w:val="22"/>
        </w:rPr>
        <w:t xml:space="preserve">, bem como no respectivo sítio oficial na Internet, em atenção ao </w:t>
      </w:r>
      <w:r>
        <w:rPr>
          <w:sz w:val="22"/>
          <w:szCs w:val="22"/>
        </w:rPr>
        <w:fldChar w:fldCharType="begin"/>
      </w:r>
      <w:r>
        <w:rPr>
          <w:rStyle w:val="62"/>
          <w:sz w:val="22"/>
          <w:szCs w:val="22"/>
        </w:rPr>
        <w:instrText xml:space="preserve"> HYPERLINK "http://www.planalto.gov.br/ccivil_03/_ato2019-2022/2021/lei/L14133.htm" \l "art94"</w:instrText>
      </w:r>
      <w:r>
        <w:rPr>
          <w:rStyle w:val="62"/>
          <w:sz w:val="22"/>
          <w:szCs w:val="22"/>
        </w:rPr>
        <w:fldChar w:fldCharType="separate"/>
      </w:r>
      <w:r>
        <w:rPr>
          <w:rStyle w:val="62"/>
          <w:sz w:val="22"/>
          <w:szCs w:val="22"/>
        </w:rPr>
        <w:t xml:space="preserve">art. 91, </w:t>
      </w:r>
      <w:r>
        <w:rPr>
          <w:rStyle w:val="62"/>
          <w:sz w:val="22"/>
          <w:szCs w:val="22"/>
        </w:rPr>
        <w:fldChar w:fldCharType="end"/>
      </w:r>
      <w:r>
        <w:rPr>
          <w:rStyle w:val="62"/>
          <w:i/>
          <w:iCs/>
          <w:sz w:val="22"/>
          <w:szCs w:val="22"/>
        </w:rPr>
        <w:t>caput</w:t>
      </w:r>
      <w:r>
        <w:rPr>
          <w:rStyle w:val="62"/>
          <w:sz w:val="22"/>
          <w:szCs w:val="22"/>
        </w:rPr>
        <w:t>, da Lei Federal nº 14.133, de 2021</w:t>
      </w:r>
      <w:r>
        <w:rPr>
          <w:sz w:val="22"/>
          <w:szCs w:val="22"/>
        </w:rPr>
        <w:t xml:space="preserve">, e ao </w:t>
      </w:r>
      <w:r>
        <w:rPr>
          <w:sz w:val="22"/>
          <w:szCs w:val="22"/>
        </w:rPr>
        <w:fldChar w:fldCharType="begin"/>
      </w:r>
      <w:r>
        <w:rPr>
          <w:rStyle w:val="62"/>
          <w:sz w:val="22"/>
          <w:szCs w:val="22"/>
        </w:rPr>
        <w:instrText xml:space="preserve"> HYPERLINK "https://www.planalto.gov.br/ccivil_03/_ato2011-2014/2011/lei/l12527.htm" \l "art8§2"</w:instrText>
      </w:r>
      <w:r>
        <w:rPr>
          <w:rStyle w:val="62"/>
          <w:sz w:val="22"/>
          <w:szCs w:val="22"/>
        </w:rPr>
        <w:fldChar w:fldCharType="separate"/>
      </w:r>
      <w:r>
        <w:rPr>
          <w:rStyle w:val="62"/>
          <w:sz w:val="22"/>
          <w:szCs w:val="22"/>
        </w:rPr>
        <w:t>art. 8º, §2º, da Lei Federal nº 12.527, de 2011</w:t>
      </w:r>
      <w:r>
        <w:rPr>
          <w:rStyle w:val="62"/>
          <w:sz w:val="22"/>
          <w:szCs w:val="22"/>
        </w:rPr>
        <w:fldChar w:fldCharType="end"/>
      </w:r>
      <w:r>
        <w:rPr>
          <w:sz w:val="22"/>
          <w:szCs w:val="22"/>
        </w:rPr>
        <w:t>.</w:t>
      </w:r>
    </w:p>
    <w:p w14:paraId="1F1E2A55">
      <w:pPr>
        <w:pStyle w:val="32"/>
        <w:numPr>
          <w:ilvl w:val="1"/>
          <w:numId w:val="14"/>
        </w:numPr>
        <w:tabs>
          <w:tab w:val="left" w:pos="993"/>
        </w:tabs>
        <w:spacing w:before="0" w:beforeAutospacing="0" w:after="0" w:afterAutospacing="0"/>
        <w:ind w:left="0" w:firstLine="567"/>
        <w:jc w:val="both"/>
        <w:rPr>
          <w:sz w:val="22"/>
          <w:szCs w:val="22"/>
        </w:rPr>
      </w:pPr>
    </w:p>
    <w:p w14:paraId="5A0588D5">
      <w:pPr>
        <w:pStyle w:val="32"/>
        <w:numPr>
          <w:ilvl w:val="0"/>
          <w:numId w:val="14"/>
        </w:numPr>
        <w:pBdr>
          <w:bottom w:val="single" w:color="000000" w:themeColor="dark1" w:sz="4" w:space="1"/>
        </w:pBdr>
        <w:shd w:val="clear" w:color="auto" w:fill="BEBEBE" w:themeFill="background1" w:themeFillShade="BF"/>
        <w:spacing w:before="0" w:beforeAutospacing="0" w:after="0" w:afterAutospacing="0"/>
        <w:jc w:val="both"/>
        <w:rPr>
          <w:sz w:val="22"/>
          <w:szCs w:val="22"/>
        </w:rPr>
      </w:pPr>
      <w:r>
        <w:rPr>
          <w:rStyle w:val="16"/>
          <w:color w:val="000000"/>
          <w:sz w:val="22"/>
          <w:szCs w:val="22"/>
        </w:rPr>
        <w:t>FORO</w:t>
      </w:r>
      <w:r>
        <w:rPr>
          <w:sz w:val="22"/>
          <w:szCs w:val="22"/>
        </w:rPr>
        <w:t xml:space="preserve"> (</w:t>
      </w:r>
      <w:r>
        <w:rPr>
          <w:sz w:val="22"/>
          <w:szCs w:val="22"/>
        </w:rPr>
        <w:fldChar w:fldCharType="begin"/>
      </w:r>
      <w:r>
        <w:rPr>
          <w:rStyle w:val="62"/>
          <w:sz w:val="22"/>
          <w:szCs w:val="22"/>
        </w:rPr>
        <w:instrText xml:space="preserve"> HYPERLINK "http://www.planalto.gov.br/ccivil_03/_ato2019-2022/2021/lei/L14133.htm" \l "art92§1"</w:instrText>
      </w:r>
      <w:r>
        <w:rPr>
          <w:rStyle w:val="62"/>
          <w:sz w:val="22"/>
          <w:szCs w:val="22"/>
        </w:rPr>
        <w:fldChar w:fldCharType="separate"/>
      </w:r>
      <w:r>
        <w:rPr>
          <w:rStyle w:val="62"/>
          <w:sz w:val="22"/>
          <w:szCs w:val="22"/>
        </w:rPr>
        <w:t>art. 92, §1º</w:t>
      </w:r>
      <w:r>
        <w:rPr>
          <w:rStyle w:val="62"/>
          <w:sz w:val="22"/>
          <w:szCs w:val="22"/>
        </w:rPr>
        <w:fldChar w:fldCharType="end"/>
      </w:r>
      <w:r>
        <w:rPr>
          <w:rStyle w:val="62"/>
          <w:sz w:val="22"/>
          <w:szCs w:val="22"/>
        </w:rPr>
        <w:t>, da Lei Federal nº 14.133, de 2021</w:t>
      </w:r>
      <w:r>
        <w:rPr>
          <w:sz w:val="22"/>
          <w:szCs w:val="22"/>
        </w:rPr>
        <w:t>)</w:t>
      </w:r>
    </w:p>
    <w:p w14:paraId="727D3A84">
      <w:pPr>
        <w:pStyle w:val="32"/>
        <w:numPr>
          <w:ilvl w:val="1"/>
          <w:numId w:val="14"/>
        </w:numPr>
        <w:tabs>
          <w:tab w:val="left" w:pos="993"/>
        </w:tabs>
        <w:spacing w:before="0" w:beforeAutospacing="0" w:after="120" w:afterAutospacing="0"/>
        <w:ind w:left="0" w:firstLine="567"/>
        <w:jc w:val="both"/>
        <w:rPr>
          <w:sz w:val="22"/>
          <w:szCs w:val="22"/>
        </w:rPr>
      </w:pPr>
      <w:r>
        <w:rPr>
          <w:sz w:val="22"/>
          <w:szCs w:val="22"/>
        </w:rPr>
        <w:t>Fica eleito o Foro d</w:t>
      </w:r>
      <w:r>
        <w:rPr>
          <w:rFonts w:hint="default"/>
          <w:sz w:val="22"/>
          <w:szCs w:val="22"/>
          <w:lang w:val="pt-BR"/>
        </w:rPr>
        <w:t>e Primavera do Leste</w:t>
      </w:r>
      <w:r>
        <w:rPr>
          <w:sz w:val="22"/>
          <w:szCs w:val="22"/>
        </w:rPr>
        <w:t xml:space="preserve"> - MT para dirimir os litígios que decorrerem da execução deste Termo de Contrato que não puderem ser compostos pela conciliação administrativa, conforme </w:t>
      </w:r>
      <w:r>
        <w:rPr>
          <w:sz w:val="22"/>
          <w:szCs w:val="22"/>
        </w:rPr>
        <w:fldChar w:fldCharType="begin"/>
      </w:r>
      <w:r>
        <w:rPr>
          <w:rStyle w:val="62"/>
          <w:sz w:val="22"/>
          <w:szCs w:val="22"/>
        </w:rPr>
        <w:instrText xml:space="preserve"> HYPERLINK "http://www.planalto.gov.br/ccivil_03/_ato2019-2022/2021/lei/L14133.htm" \l "art92§1"</w:instrText>
      </w:r>
      <w:r>
        <w:rPr>
          <w:rStyle w:val="62"/>
          <w:sz w:val="22"/>
          <w:szCs w:val="22"/>
        </w:rPr>
        <w:fldChar w:fldCharType="separate"/>
      </w:r>
      <w:r>
        <w:rPr>
          <w:rStyle w:val="62"/>
          <w:sz w:val="22"/>
          <w:szCs w:val="22"/>
        </w:rPr>
        <w:t>art. 92, §1º, da Lei Federal nº 14.133, de 2021.</w:t>
      </w:r>
      <w:r>
        <w:rPr>
          <w:rStyle w:val="62"/>
          <w:sz w:val="22"/>
          <w:szCs w:val="22"/>
        </w:rPr>
        <w:fldChar w:fldCharType="end"/>
      </w:r>
    </w:p>
    <w:p w14:paraId="10CB99E8">
      <w:pPr>
        <w:pStyle w:val="32"/>
        <w:tabs>
          <w:tab w:val="left" w:pos="993"/>
        </w:tabs>
        <w:spacing w:before="120" w:beforeAutospacing="0" w:after="120" w:afterAutospacing="0"/>
        <w:ind w:firstLine="567"/>
        <w:jc w:val="both"/>
        <w:rPr>
          <w:rFonts w:ascii="Times New Roman" w:hAnsi="Times New Roman"/>
          <w:sz w:val="22"/>
          <w:szCs w:val="22"/>
        </w:rPr>
      </w:pPr>
      <w:r>
        <w:rPr>
          <w:sz w:val="22"/>
          <w:szCs w:val="22"/>
        </w:rPr>
        <w:t>Para firmeza e como prova de assim haverem ajustado, depois de lido e achado de acordo, este instrumento será assinado digitalmente ou, em caso de impossibilidade, impresso e assinado em 2 (duas) vias de igual teor e forma.</w:t>
      </w:r>
    </w:p>
    <w:p w14:paraId="613038B2">
      <w:pPr>
        <w:pStyle w:val="32"/>
        <w:tabs>
          <w:tab w:val="left" w:pos="993"/>
        </w:tabs>
        <w:spacing w:before="120" w:beforeAutospacing="0" w:after="120" w:afterAutospacing="0"/>
        <w:ind w:firstLine="567"/>
        <w:jc w:val="right"/>
        <w:rPr>
          <w:sz w:val="22"/>
          <w:szCs w:val="22"/>
        </w:rPr>
      </w:pPr>
    </w:p>
    <w:p w14:paraId="3CC036CB">
      <w:pPr>
        <w:pStyle w:val="32"/>
        <w:tabs>
          <w:tab w:val="left" w:pos="993"/>
        </w:tabs>
        <w:spacing w:before="120" w:beforeAutospacing="0" w:after="120" w:afterAutospacing="0"/>
        <w:ind w:firstLine="567"/>
        <w:jc w:val="right"/>
        <w:rPr>
          <w:rFonts w:ascii="Times New Roman" w:hAnsi="Times New Roman"/>
          <w:sz w:val="22"/>
          <w:szCs w:val="22"/>
        </w:rPr>
      </w:pPr>
      <w:r>
        <w:rPr>
          <w:sz w:val="22"/>
          <w:szCs w:val="22"/>
        </w:rPr>
        <w:t>Primavera do Leste - MT, em ____________, de ___________de 2024.</w:t>
      </w:r>
    </w:p>
    <w:p w14:paraId="190591BE">
      <w:pPr>
        <w:pStyle w:val="32"/>
        <w:tabs>
          <w:tab w:val="left" w:pos="993"/>
        </w:tabs>
        <w:spacing w:before="120" w:beforeAutospacing="0" w:after="120" w:afterAutospacing="0"/>
        <w:jc w:val="right"/>
        <w:rPr>
          <w:rFonts w:ascii="Times New Roman" w:hAnsi="Times New Roman"/>
          <w:sz w:val="22"/>
          <w:szCs w:val="22"/>
        </w:rPr>
      </w:pPr>
    </w:p>
    <w:p w14:paraId="349C928C">
      <w:pPr>
        <w:pStyle w:val="32"/>
        <w:tabs>
          <w:tab w:val="left" w:pos="993"/>
        </w:tabs>
        <w:spacing w:before="120" w:beforeAutospacing="0" w:after="120" w:afterAutospacing="0"/>
        <w:jc w:val="both"/>
        <w:rPr>
          <w:sz w:val="22"/>
          <w:szCs w:val="22"/>
        </w:rPr>
      </w:pPr>
      <w:r>
        <w:rPr>
          <w:sz w:val="22"/>
          <w:szCs w:val="22"/>
          <w:u w:val="single"/>
        </w:rPr>
        <w:t>Representantes legais</w:t>
      </w:r>
      <w:r>
        <w:rPr>
          <w:sz w:val="22"/>
          <w:szCs w:val="22"/>
        </w:rPr>
        <w:t>:</w:t>
      </w:r>
    </w:p>
    <w:p w14:paraId="68F8681C">
      <w:pPr>
        <w:pStyle w:val="32"/>
        <w:tabs>
          <w:tab w:val="left" w:pos="993"/>
        </w:tabs>
        <w:spacing w:before="120" w:beforeAutospacing="0" w:after="120" w:afterAutospacing="0"/>
        <w:jc w:val="both"/>
        <w:rPr>
          <w:sz w:val="22"/>
          <w:szCs w:val="22"/>
          <w:highlight w:val="none"/>
        </w:rPr>
      </w:pPr>
    </w:p>
    <w:p w14:paraId="433AC8F3">
      <w:pPr>
        <w:pStyle w:val="32"/>
        <w:tabs>
          <w:tab w:val="left" w:pos="993"/>
        </w:tabs>
        <w:spacing w:before="120" w:beforeAutospacing="0" w:after="120" w:afterAutospacing="0"/>
        <w:jc w:val="both"/>
        <w:rPr>
          <w:rFonts w:ascii="Times New Roman" w:hAnsi="Times New Roman"/>
          <w:sz w:val="22"/>
          <w:szCs w:val="22"/>
          <w:highlight w:val="none"/>
        </w:rPr>
      </w:pPr>
    </w:p>
    <w:tbl>
      <w:tblPr>
        <w:tblStyle w:val="47"/>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6"/>
        <w:gridCol w:w="4464"/>
      </w:tblGrid>
      <w:tr w14:paraId="492F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6" w:type="dxa"/>
            <w:tcBorders>
              <w:top w:val="nil"/>
              <w:left w:val="nil"/>
              <w:bottom w:val="nil"/>
              <w:right w:val="nil"/>
            </w:tcBorders>
          </w:tcPr>
          <w:p w14:paraId="4281DF51">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do Ordenador de Despesas</w:t>
            </w:r>
          </w:p>
          <w:p w14:paraId="39D65A7F">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Contratante</w:t>
            </w:r>
          </w:p>
        </w:tc>
        <w:tc>
          <w:tcPr>
            <w:tcW w:w="4464" w:type="dxa"/>
            <w:tcBorders>
              <w:top w:val="nil"/>
              <w:left w:val="nil"/>
              <w:bottom w:val="nil"/>
              <w:right w:val="nil"/>
            </w:tcBorders>
          </w:tcPr>
          <w:p w14:paraId="0EB9BB80">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da Contratada</w:t>
            </w:r>
          </w:p>
          <w:p w14:paraId="4D0B36E6">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Contratada</w:t>
            </w:r>
          </w:p>
        </w:tc>
      </w:tr>
    </w:tbl>
    <w:p w14:paraId="3FA7A47D">
      <w:pPr>
        <w:pStyle w:val="32"/>
        <w:tabs>
          <w:tab w:val="left" w:pos="993"/>
        </w:tabs>
        <w:spacing w:before="120" w:beforeAutospacing="0" w:after="120" w:afterAutospacing="0"/>
        <w:jc w:val="both"/>
        <w:rPr>
          <w:rFonts w:ascii="Times New Roman" w:hAnsi="Times New Roman"/>
          <w:sz w:val="22"/>
          <w:szCs w:val="22"/>
          <w:highlight w:val="none"/>
        </w:rPr>
      </w:pPr>
    </w:p>
    <w:p w14:paraId="44387A36">
      <w:pPr>
        <w:pStyle w:val="32"/>
        <w:tabs>
          <w:tab w:val="left" w:pos="993"/>
        </w:tabs>
        <w:spacing w:before="120" w:beforeAutospacing="0" w:after="120" w:afterAutospacing="0"/>
        <w:jc w:val="both"/>
        <w:rPr>
          <w:rFonts w:ascii="Times New Roman" w:hAnsi="Times New Roman"/>
          <w:sz w:val="22"/>
          <w:szCs w:val="22"/>
        </w:rPr>
      </w:pPr>
    </w:p>
    <w:sectPr>
      <w:headerReference r:id="rId8" w:type="first"/>
      <w:footerReference r:id="rId10" w:type="first"/>
      <w:headerReference r:id="rId7" w:type="default"/>
      <w:footerReference r:id="rId9" w:type="default"/>
      <w:footnotePr>
        <w:numFmt w:val="decimal"/>
      </w:footnotePr>
      <w:pgSz w:w="11906" w:h="16838"/>
      <w:pgMar w:top="1701" w:right="1274" w:bottom="1134" w:left="1701" w:header="709" w:footer="0" w:gutter="0"/>
      <w:pgBorders>
        <w:top w:val="none" w:sz="0" w:space="0"/>
        <w:left w:val="none" w:sz="0" w:space="0"/>
        <w:bottom w:val="none" w:sz="0" w:space="0"/>
        <w:right w:val="none" w:sz="0" w:space="0"/>
      </w:pgBorders>
      <w:pgNumType w:fmt="decimal"/>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ookman Old Style">
    <w:altName w:val="Microsoft YaHei"/>
    <w:panose1 w:val="00000000000000000000"/>
    <w:charset w:val="00"/>
    <w:family w:val="roman"/>
    <w:pitch w:val="default"/>
    <w:sig w:usb0="00000000" w:usb1="00000000" w:usb2="00000000" w:usb3="00000000" w:csb0="00040001" w:csb1="00000000"/>
  </w:font>
  <w:font w:name="Liberation Sans">
    <w:panose1 w:val="020B0604020202020204"/>
    <w:charset w:val="00"/>
    <w:family w:val="roman"/>
    <w:pitch w:val="default"/>
    <w:sig w:usb0="E0000AFF" w:usb1="500078FF" w:usb2="00000021" w:usb3="00000000" w:csb0="600001BF" w:csb1="DFF70000"/>
  </w:font>
  <w:font w:name="Arial Narrow">
    <w:altName w:val="Arial"/>
    <w:panose1 w:val="00000000000000000000"/>
    <w:charset w:val="00"/>
    <w:family w:val="roman"/>
    <w:pitch w:val="default"/>
    <w:sig w:usb0="00000000" w:usb1="00000000" w:usb2="00000000" w:usb3="00000000" w:csb0="00000000" w:csb1="00000000"/>
  </w:font>
  <w:font w:name="Ecofont_Spranq_eco_Sans">
    <w:altName w:val="Liberation Mono"/>
    <w:panose1 w:val="00000000000000000000"/>
    <w:charset w:val="00"/>
    <w:family w:val="roman"/>
    <w:pitch w:val="default"/>
    <w:sig w:usb0="00000000" w:usb1="00000000" w:usb2="00000000" w:usb3="00000000" w:csb0="00000000" w:csb1="00000000"/>
  </w:font>
  <w:font w:name="Tahoma">
    <w:panose1 w:val="020B0604030504040204"/>
    <w:charset w:val="00"/>
    <w:family w:val="roman"/>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roman"/>
    <w:pitch w:val="default"/>
    <w:sig w:usb0="E4002EFF" w:usb1="C000E47F" w:usb2="00000009" w:usb3="00000000" w:csb0="200001FF" w:csb1="00000000"/>
  </w:font>
  <w:font w:name="OpenSymbol">
    <w:panose1 w:val="05010000000000000000"/>
    <w:charset w:val="00"/>
    <w:family w:val="roman"/>
    <w:pitch w:val="default"/>
    <w:sig w:usb0="800000AF" w:usb1="1001ECEA" w:usb2="00000000" w:usb3="00000000" w:csb0="80000001" w:csb1="00000000"/>
  </w:font>
  <w:font w:name="WenQuanYi Micro Hei">
    <w:altName w:val="Liberation Mono"/>
    <w:panose1 w:val="00000000000000000000"/>
    <w:charset w:val="00"/>
    <w:family w:val="auto"/>
    <w:pitch w:val="default"/>
    <w:sig w:usb0="00000000" w:usb1="00000000" w:usb2="00000000" w:usb3="00000000" w:csb0="00000000" w:csb1="00000000"/>
  </w:font>
  <w:font w:name="Lohit Hindi">
    <w:altName w:val="Liberation Mono"/>
    <w:panose1 w:val="00000000000000000000"/>
    <w:charset w:val="00"/>
    <w:family w:val="auto"/>
    <w:pitch w:val="default"/>
    <w:sig w:usb0="00000000" w:usb1="00000000" w:usb2="00000000" w:usb3="00000000" w:csb0="00000000"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auto"/>
    <w:pitch w:val="default"/>
    <w:sig w:usb0="00000203" w:usb1="288F0000" w:usb2="00000006" w:usb3="00000000" w:csb0="00040001" w:csb1="00000000"/>
  </w:font>
  <w:font w:name="Lucida Sans">
    <w:altName w:val="Lucida Sans Unicode"/>
    <w:panose1 w:val="00000000000000000000"/>
    <w:charset w:val="00"/>
    <w:family w:val="auto"/>
    <w:pitch w:val="default"/>
    <w:sig w:usb0="00000000" w:usb1="00000000" w:usb2="00000000" w:usb3="00000000" w:csb0="00000000" w:csb1="00000000"/>
  </w:font>
  <w:font w:name="MS Sans Serif">
    <w:altName w:val="Microsoft YaHei"/>
    <w:panose1 w:val="00000000000000000000"/>
    <w:charset w:val="00"/>
    <w:family w:val="roman"/>
    <w:pitch w:val="default"/>
    <w:sig w:usb0="00000000" w:usb1="00000000" w:usb2="00000000" w:usb3="00000000" w:csb0="00040001" w:csb1="00000000"/>
  </w:font>
  <w:font w:name="Arial Unicode MS">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3C264">
    <w:pPr>
      <w:pStyle w:val="3"/>
      <w:spacing w:before="120" w:after="0" w:line="240" w:lineRule="auto"/>
      <w:jc w:val="center"/>
      <w:rPr>
        <w:rFonts w:ascii="Times New Roman" w:hAnsi="Times New Roman"/>
        <w:sz w:val="20"/>
        <w:szCs w:val="20"/>
      </w:rPr>
    </w:pPr>
    <w:r>
      <w:rPr>
        <w:rFonts w:ascii="Times New Roman" w:hAnsi="Times New Roman" w:cs="Arial"/>
        <w:sz w:val="20"/>
        <w:szCs w:val="20"/>
      </w:rPr>
      <w:t>Av. Primavera, 300, Bairro Primavera II, Primavera do Leste - MT, CEP: 78850-000</w:t>
    </w:r>
  </w:p>
  <w:p w14:paraId="5E86F8D0">
    <w:pPr>
      <w:pStyle w:val="3"/>
      <w:spacing w:before="0" w:after="0" w:line="240" w:lineRule="auto"/>
      <w:jc w:val="center"/>
    </w:pPr>
    <w:r>
      <w:rPr>
        <w:rFonts w:ascii="Times New Roman" w:hAnsi="Times New Roman" w:cs="Arial"/>
        <w:sz w:val="20"/>
        <w:szCs w:val="20"/>
      </w:rPr>
      <w:t xml:space="preserve">Fones: (66) 3498-3590/1734 - Site: </w:t>
    </w:r>
    <w:r>
      <w:fldChar w:fldCharType="begin"/>
    </w:r>
    <w:r>
      <w:instrText xml:space="preserve"> HYPERLINK "https://www.primaveradoleste.mt.leg.br/" \h </w:instrText>
    </w:r>
    <w:r>
      <w:fldChar w:fldCharType="separate"/>
    </w:r>
    <w:r>
      <w:rPr>
        <w:rStyle w:val="62"/>
        <w:rFonts w:ascii="Times New Roman" w:hAnsi="Times New Roman" w:cs="Arial"/>
        <w:sz w:val="20"/>
        <w:szCs w:val="20"/>
      </w:rPr>
      <w:t>https://www.primaveradoleste.mt.leg.br/</w:t>
    </w:r>
    <w:r>
      <w:rPr>
        <w:rStyle w:val="62"/>
        <w:rFonts w:ascii="Times New Roman" w:hAnsi="Times New Roman" w:cs="Arial"/>
        <w:sz w:val="20"/>
        <w:szCs w:val="20"/>
      </w:rPr>
      <w:fldChar w:fldCharType="end"/>
    </w:r>
    <w:r>
      <w:rPr>
        <w:rFonts w:ascii="Times New Roman" w:hAnsi="Times New Roman" w:cs="Arial"/>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9DCBD">
    <w:pPr>
      <w:widowControl/>
      <w:suppressAutoHyphens/>
      <w:bidi w:val="0"/>
      <w:spacing w:before="0" w:after="200" w:line="276" w:lineRule="auto"/>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BE8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14:paraId="26E775E9">
      <w:pPr>
        <w:pStyle w:val="45"/>
      </w:pPr>
      <w:r>
        <w:rPr>
          <w:rStyle w:val="52"/>
        </w:rPr>
        <w:footnoteRef/>
      </w:r>
      <w:r>
        <w:t xml:space="preserve"> </w:t>
      </w:r>
      <w:r>
        <w:rPr>
          <w:rFonts w:ascii="Times New Roman" w:hAnsi="Times New Roman" w:cs="Times New Roman"/>
        </w:rPr>
        <w:t>Quantidade (20.000) multiplicado pelo Preço Unitário do quilômetro voado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63CA7">
    <w:pPr>
      <w:pStyle w:val="37"/>
      <w:jc w:val="center"/>
      <w:rPr>
        <w:rFonts w:eastAsia="Liberation Serif"/>
        <w:sz w:val="18"/>
        <w:szCs w:val="18"/>
        <w:lang w:eastAsia="hi-IN"/>
      </w:rPr>
    </w:pPr>
  </w:p>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14:paraId="5B0A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14:paraId="65A0F847">
          <w:pPr>
            <w:widowControl/>
            <w:suppressAutoHyphens/>
            <w:spacing w:before="0" w:after="0" w:line="240" w:lineRule="auto"/>
            <w:jc w:val="center"/>
            <w:rPr>
              <w:rFonts w:ascii="Times New Roman" w:hAnsi="Times New Roman" w:cs="Times New Roman"/>
              <w:sz w:val="24"/>
              <w:szCs w:val="24"/>
            </w:rPr>
          </w:pPr>
          <w:r>
            <w:object>
              <v:shape id="_x0000_i1025" o:spt="75" type="#_x0000_t75" style="height:47pt;width:127pt;" o:ole="t" filled="f" o:preferrelative="t" stroked="f" coordsize="21600,21600">
                <v:path/>
                <v:fill on="f" focussize="0,0"/>
                <v:stroke on="f" joinstyle="miter"/>
                <v:imagedata r:id="rId2" o:title=""/>
                <o:lock v:ext="edit" aspectratio="t"/>
                <w10:wrap type="none"/>
                <w10:anchorlock/>
              </v:shape>
              <o:OLEObject Type="Embed" ProgID="PBrush" ShapeID="_x0000_i1025" DrawAspect="Content" ObjectID="_1468075725" r:id="rId1">
                <o:LockedField>false</o:LockedField>
              </o:OLEObject>
            </w:object>
          </w:r>
        </w:p>
      </w:tc>
      <w:tc>
        <w:tcPr>
          <w:tcW w:w="6308" w:type="dxa"/>
          <w:tcBorders>
            <w:top w:val="nil"/>
            <w:left w:val="nil"/>
            <w:bottom w:val="nil"/>
            <w:right w:val="nil"/>
          </w:tcBorders>
        </w:tcPr>
        <w:p w14:paraId="4B03BF53">
          <w:pPr>
            <w:pStyle w:val="37"/>
            <w:spacing w:after="60"/>
            <w:rPr>
              <w:rFonts w:hint="default" w:ascii="Arial" w:hAnsi="Arial" w:cs="Arial"/>
              <w:b/>
              <w:bCs/>
              <w:sz w:val="24"/>
              <w:szCs w:val="24"/>
              <w:lang w:val="pt-BR"/>
            </w:rPr>
          </w:pPr>
          <w:r>
            <w:rPr>
              <w:rFonts w:ascii="Arial" w:hAnsi="Arial" w:cs="Arial"/>
              <w:b/>
              <w:bCs/>
              <w:sz w:val="24"/>
              <w:szCs w:val="24"/>
            </w:rPr>
            <w:t>ESTADO DE MATO GROSSO</w:t>
          </w:r>
          <w:r>
            <w:rPr>
              <w:rFonts w:hint="default" w:ascii="Arial" w:hAnsi="Arial" w:cs="Arial"/>
              <w:b/>
              <w:bCs/>
              <w:sz w:val="24"/>
              <w:szCs w:val="24"/>
              <w:lang w:val="pt-BR"/>
            </w:rPr>
            <w:t xml:space="preserve"> </w:t>
          </w:r>
        </w:p>
        <w:p w14:paraId="2EDC9BEB">
          <w:pPr>
            <w:pStyle w:val="37"/>
            <w:spacing w:after="60"/>
            <w:rPr>
              <w:rFonts w:ascii="Arial" w:hAnsi="Arial" w:cs="Arial"/>
              <w:b/>
              <w:bCs/>
              <w:sz w:val="24"/>
              <w:szCs w:val="24"/>
            </w:rPr>
          </w:pPr>
          <w:r>
            <w:rPr>
              <w:rFonts w:ascii="Arial" w:hAnsi="Arial" w:cs="Arial"/>
              <w:b/>
              <w:bCs/>
              <w:sz w:val="24"/>
              <w:szCs w:val="24"/>
            </w:rPr>
            <w:t>CÂMARA MUNICIPAL DE PRIMAVERA DO LESTE</w:t>
          </w:r>
        </w:p>
        <w:p w14:paraId="48C61E72">
          <w:pPr>
            <w:widowControl/>
            <w:suppressAutoHyphens/>
            <w:spacing w:before="0" w:after="0" w:line="240" w:lineRule="auto"/>
            <w:jc w:val="both"/>
            <w:rPr>
              <w:rFonts w:ascii="Times New Roman" w:hAnsi="Times New Roman" w:cs="Times New Roman"/>
              <w:sz w:val="24"/>
              <w:szCs w:val="24"/>
            </w:rPr>
          </w:pPr>
          <w:r>
            <w:rPr>
              <w:rFonts w:ascii="Arial" w:hAnsi="Arial" w:cs="Arial"/>
              <w:b/>
              <w:bCs/>
              <w:sz w:val="24"/>
              <w:szCs w:val="24"/>
            </w:rPr>
            <w:t>GESTÃO 2023/2024</w:t>
          </w:r>
        </w:p>
      </w:tc>
    </w:tr>
  </w:tbl>
  <w:p w14:paraId="49D0974E">
    <w:pPr>
      <w:spacing w:before="0" w:after="2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14:paraId="4736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14:paraId="7110E7E0">
          <w:pPr>
            <w:widowControl/>
            <w:suppressAutoHyphens/>
            <w:spacing w:before="0" w:after="0" w:line="240" w:lineRule="auto"/>
            <w:jc w:val="center"/>
            <w:rPr>
              <w:rFonts w:ascii="Times New Roman" w:hAnsi="Times New Roman" w:cs="Times New Roman"/>
              <w:sz w:val="24"/>
              <w:szCs w:val="24"/>
            </w:rPr>
          </w:pPr>
          <w:r>
            <w:drawing>
              <wp:inline distT="0" distB="0" distL="0" distR="0">
                <wp:extent cx="1612900" cy="596900"/>
                <wp:effectExtent l="0" t="0" r="0" b="0"/>
                <wp:docPr id="1" name="_x005F_x0000_s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s2050"/>
                        <pic:cNvPicPr>
                          <a:picLocks noChangeAspect="1" noChangeArrowheads="1"/>
                        </pic:cNvPicPr>
                      </pic:nvPicPr>
                      <pic:blipFill>
                        <a:blip r:embed="rId1"/>
                        <a:stretch>
                          <a:fillRect/>
                        </a:stretch>
                      </pic:blipFill>
                      <pic:spPr>
                        <a:xfrm>
                          <a:off x="0" y="0"/>
                          <a:ext cx="1612900" cy="596900"/>
                        </a:xfrm>
                        <a:prstGeom prst="rect">
                          <a:avLst/>
                        </a:prstGeom>
                      </pic:spPr>
                    </pic:pic>
                  </a:graphicData>
                </a:graphic>
              </wp:inline>
            </w:drawing>
          </w:r>
        </w:p>
      </w:tc>
      <w:tc>
        <w:tcPr>
          <w:tcW w:w="6308" w:type="dxa"/>
          <w:tcBorders>
            <w:top w:val="nil"/>
            <w:left w:val="nil"/>
            <w:bottom w:val="nil"/>
            <w:right w:val="nil"/>
          </w:tcBorders>
          <w:shd w:val="clear" w:color="auto" w:fill="DDDDDD"/>
        </w:tcPr>
        <w:p w14:paraId="2B85B707">
          <w:pPr>
            <w:pStyle w:val="37"/>
            <w:spacing w:after="60"/>
            <w:rPr>
              <w:rFonts w:hint="default" w:ascii="Arial" w:hAnsi="Arial" w:cs="Arial"/>
              <w:b/>
              <w:bCs/>
              <w:sz w:val="24"/>
              <w:szCs w:val="24"/>
              <w:lang w:val="pt-BR"/>
            </w:rPr>
          </w:pPr>
          <w:r>
            <w:rPr>
              <w:rFonts w:ascii="Arial" w:hAnsi="Arial" w:cs="Arial"/>
              <w:b/>
              <w:bCs/>
              <w:sz w:val="24"/>
              <w:szCs w:val="24"/>
            </w:rPr>
            <w:t>ESTADO DE MATO GROSSO</w:t>
          </w:r>
          <w:r>
            <w:rPr>
              <w:rFonts w:hint="default" w:ascii="Arial" w:hAnsi="Arial" w:cs="Arial"/>
              <w:b/>
              <w:bCs/>
              <w:sz w:val="24"/>
              <w:szCs w:val="24"/>
              <w:lang w:val="pt-BR"/>
            </w:rPr>
            <w:t xml:space="preserve"> </w:t>
          </w:r>
        </w:p>
        <w:p w14:paraId="7576C51E">
          <w:pPr>
            <w:pStyle w:val="37"/>
            <w:spacing w:after="60"/>
            <w:rPr>
              <w:rFonts w:ascii="Arial" w:hAnsi="Arial" w:cs="Arial"/>
              <w:b/>
              <w:bCs/>
              <w:sz w:val="24"/>
              <w:szCs w:val="24"/>
            </w:rPr>
          </w:pPr>
          <w:r>
            <w:rPr>
              <w:rFonts w:ascii="Arial" w:hAnsi="Arial" w:cs="Arial"/>
              <w:b/>
              <w:bCs/>
              <w:sz w:val="24"/>
              <w:szCs w:val="24"/>
            </w:rPr>
            <w:t>CÂMARA MUNICIPAL DE PRIMAVERA DO LESTE</w:t>
          </w:r>
        </w:p>
        <w:p w14:paraId="3A291411">
          <w:pPr>
            <w:widowControl/>
            <w:suppressAutoHyphens/>
            <w:spacing w:before="0" w:after="0" w:line="240" w:lineRule="auto"/>
            <w:jc w:val="both"/>
            <w:rPr>
              <w:rFonts w:ascii="Times New Roman" w:hAnsi="Times New Roman" w:cs="Times New Roman"/>
              <w:sz w:val="24"/>
              <w:szCs w:val="24"/>
            </w:rPr>
          </w:pPr>
          <w:r>
            <w:rPr>
              <w:rFonts w:ascii="Arial" w:hAnsi="Arial" w:cs="Arial"/>
              <w:b/>
              <w:bCs/>
              <w:sz w:val="24"/>
              <w:szCs w:val="24"/>
            </w:rPr>
            <w:t>GESTÃO 2023/2024</w:t>
          </w:r>
        </w:p>
      </w:tc>
    </w:tr>
  </w:tbl>
  <w:p w14:paraId="2E02CC5B">
    <w:pPr>
      <w:spacing w:before="0" w:after="0" w:line="240" w:lineRule="auto"/>
      <w:jc w:val="both"/>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30A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
    <w:nsid w:val="B5E306ED"/>
    <w:multiLevelType w:val="multilevel"/>
    <w:tmpl w:val="B5E306ED"/>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2">
    <w:nsid w:val="BF205925"/>
    <w:multiLevelType w:val="multilevel"/>
    <w:tmpl w:val="BF205925"/>
    <w:lvl w:ilvl="0" w:tentative="0">
      <w:start w:val="1"/>
      <w:numFmt w:val="bullet"/>
      <w:pStyle w:val="107"/>
      <w:lvlText w:val=""/>
      <w:lvlJc w:val="left"/>
      <w:pPr>
        <w:tabs>
          <w:tab w:val="left" w:pos="720"/>
        </w:tabs>
        <w:ind w:left="720" w:hanging="360"/>
      </w:pPr>
      <w:rPr>
        <w:rFonts w:hint="default" w:ascii="Symbol" w:hAnsi="Symbol" w:cs="Symbol"/>
        <w:sz w:val="20"/>
      </w:rPr>
    </w:lvl>
    <w:lvl w:ilvl="1" w:tentative="0">
      <w:start w:val="1"/>
      <w:numFmt w:val="bullet"/>
      <w:pStyle w:val="75"/>
      <w:lvlText w:val=""/>
      <w:lvlJc w:val="left"/>
      <w:pPr>
        <w:tabs>
          <w:tab w:val="left" w:pos="1440"/>
        </w:tabs>
        <w:ind w:left="1440" w:hanging="360"/>
      </w:pPr>
      <w:rPr>
        <w:rFonts w:hint="default" w:ascii="Symbol" w:hAnsi="Symbol" w:cs="Symbol"/>
        <w:sz w:val="20"/>
      </w:rPr>
    </w:lvl>
    <w:lvl w:ilvl="2" w:tentative="0">
      <w:start w:val="1"/>
      <w:numFmt w:val="bullet"/>
      <w:pStyle w:val="83"/>
      <w:lvlText w:val=""/>
      <w:lvlJc w:val="left"/>
      <w:pPr>
        <w:tabs>
          <w:tab w:val="left" w:pos="2160"/>
        </w:tabs>
        <w:ind w:left="2160" w:hanging="360"/>
      </w:pPr>
      <w:rPr>
        <w:rFonts w:hint="default" w:ascii="Symbol" w:hAnsi="Symbol" w:cs="Symbol"/>
        <w:sz w:val="20"/>
      </w:rPr>
    </w:lvl>
    <w:lvl w:ilvl="3" w:tentative="0">
      <w:start w:val="1"/>
      <w:numFmt w:val="bullet"/>
      <w:pStyle w:val="128"/>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CF092B84"/>
    <w:multiLevelType w:val="multilevel"/>
    <w:tmpl w:val="CF092B84"/>
    <w:lvl w:ilvl="0" w:tentative="0">
      <w:start w:val="1"/>
      <w:numFmt w:val="bullet"/>
      <w:pStyle w:val="31"/>
      <w:lvlText w:val=""/>
      <w:lvlJc w:val="left"/>
      <w:pPr>
        <w:tabs>
          <w:tab w:val="left" w:pos="1492"/>
        </w:tabs>
        <w:ind w:left="1492"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4">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pStyle w:val="8"/>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5">
    <w:nsid w:val="00000002"/>
    <w:multiLevelType w:val="multilevel"/>
    <w:tmpl w:val="00000002"/>
    <w:lvl w:ilvl="0" w:tentative="0">
      <w:start w:val="1"/>
      <w:numFmt w:val="decimal"/>
      <w:lvlText w:val="%1."/>
      <w:lvlJc w:val="left"/>
      <w:pPr>
        <w:tabs>
          <w:tab w:val="left" w:pos="0"/>
        </w:tabs>
        <w:ind w:left="540" w:hanging="540"/>
      </w:pPr>
      <w:rPr>
        <w:rFonts w:eastAsia="Times New Roman"/>
        <w:b/>
        <w:bCs/>
        <w:sz w:val="24"/>
        <w:szCs w:val="24"/>
        <w:lang w:eastAsia="en-US"/>
      </w:rPr>
    </w:lvl>
    <w:lvl w:ilvl="1" w:tentative="0">
      <w:start w:val="1"/>
      <w:numFmt w:val="decimal"/>
      <w:lvlText w:val="%1.%2."/>
      <w:lvlJc w:val="left"/>
      <w:pPr>
        <w:tabs>
          <w:tab w:val="left" w:pos="0"/>
        </w:tabs>
        <w:ind w:left="780" w:hanging="720"/>
      </w:pPr>
    </w:lvl>
    <w:lvl w:ilvl="2" w:tentative="0">
      <w:start w:val="1"/>
      <w:numFmt w:val="decimal"/>
      <w:lvlText w:val="%1.%2.%3."/>
      <w:lvlJc w:val="left"/>
      <w:pPr>
        <w:tabs>
          <w:tab w:val="left" w:pos="0"/>
        </w:tabs>
        <w:ind w:left="840" w:hanging="720"/>
      </w:pPr>
    </w:lvl>
    <w:lvl w:ilvl="3" w:tentative="0">
      <w:start w:val="1"/>
      <w:numFmt w:val="decimal"/>
      <w:lvlText w:val="%1.%2.%3.%4."/>
      <w:lvlJc w:val="left"/>
      <w:pPr>
        <w:tabs>
          <w:tab w:val="left" w:pos="0"/>
        </w:tabs>
        <w:ind w:left="1260" w:hanging="1080"/>
      </w:pPr>
    </w:lvl>
    <w:lvl w:ilvl="4" w:tentative="0">
      <w:start w:val="1"/>
      <w:numFmt w:val="decimal"/>
      <w:lvlText w:val="%1.%2.%3.%4.%5."/>
      <w:lvlJc w:val="left"/>
      <w:pPr>
        <w:tabs>
          <w:tab w:val="left" w:pos="0"/>
        </w:tabs>
        <w:ind w:left="1320" w:hanging="1080"/>
      </w:pPr>
    </w:lvl>
    <w:lvl w:ilvl="5" w:tentative="0">
      <w:start w:val="1"/>
      <w:numFmt w:val="decimal"/>
      <w:lvlText w:val="%1.%2.%3.%4.%5.%6."/>
      <w:lvlJc w:val="left"/>
      <w:pPr>
        <w:tabs>
          <w:tab w:val="left" w:pos="0"/>
        </w:tabs>
        <w:ind w:left="1740" w:hanging="1440"/>
      </w:pPr>
    </w:lvl>
    <w:lvl w:ilvl="6" w:tentative="0">
      <w:start w:val="1"/>
      <w:numFmt w:val="decimal"/>
      <w:lvlText w:val="%1.%2.%3.%4.%5.%6.%7."/>
      <w:lvlJc w:val="left"/>
      <w:pPr>
        <w:tabs>
          <w:tab w:val="left" w:pos="0"/>
        </w:tabs>
        <w:ind w:left="1800" w:hanging="1440"/>
      </w:pPr>
    </w:lvl>
    <w:lvl w:ilvl="7" w:tentative="0">
      <w:start w:val="1"/>
      <w:numFmt w:val="decimal"/>
      <w:lvlText w:val="%1.%2.%3.%4.%5.%6.%7.%8."/>
      <w:lvlJc w:val="left"/>
      <w:pPr>
        <w:tabs>
          <w:tab w:val="left" w:pos="0"/>
        </w:tabs>
        <w:ind w:left="2220" w:hanging="1800"/>
      </w:pPr>
    </w:lvl>
    <w:lvl w:ilvl="8" w:tentative="0">
      <w:start w:val="1"/>
      <w:numFmt w:val="decimal"/>
      <w:lvlText w:val="%1.%2.%3.%4.%5.%6.%7.%8.%9."/>
      <w:lvlJc w:val="left"/>
      <w:pPr>
        <w:tabs>
          <w:tab w:val="left" w:pos="0"/>
        </w:tabs>
        <w:ind w:left="2640" w:hanging="2160"/>
      </w:pPr>
    </w:lvl>
  </w:abstractNum>
  <w:abstractNum w:abstractNumId="6">
    <w:nsid w:val="0053208E"/>
    <w:multiLevelType w:val="multilevel"/>
    <w:tmpl w:val="0053208E"/>
    <w:lvl w:ilvl="0" w:tentative="0">
      <w:start w:val="1"/>
      <w:numFmt w:val="decimal"/>
      <w:pStyle w:val="2"/>
      <w:lvlText w:val="%1."/>
      <w:lvlJc w:val="left"/>
      <w:pPr>
        <w:tabs>
          <w:tab w:val="left" w:pos="0"/>
        </w:tabs>
        <w:ind w:left="360" w:hanging="360"/>
      </w:pPr>
      <w:rPr>
        <w:b/>
        <w:bCs/>
      </w:rPr>
    </w:lvl>
    <w:lvl w:ilvl="1" w:tentative="0">
      <w:start w:val="1"/>
      <w:numFmt w:val="decimal"/>
      <w:lvlText w:val="%1.%2."/>
      <w:lvlJc w:val="left"/>
      <w:pPr>
        <w:tabs>
          <w:tab w:val="left" w:pos="0"/>
        </w:tabs>
        <w:ind w:left="705" w:hanging="432"/>
      </w:pPr>
      <w:rPr>
        <w:rFonts w:ascii="Times New Roman" w:hAnsi="Times New Roman"/>
        <w:b/>
        <w:bCs/>
        <w:i w:val="0"/>
        <w:iCs w:val="0"/>
      </w:rPr>
    </w:lvl>
    <w:lvl w:ilvl="2" w:tentative="0">
      <w:start w:val="1"/>
      <w:numFmt w:val="lowerLetter"/>
      <w:lvlText w:val="%3)"/>
      <w:lvlJc w:val="left"/>
      <w:pPr>
        <w:tabs>
          <w:tab w:val="left" w:pos="0"/>
        </w:tabs>
        <w:ind w:left="1080" w:hanging="360"/>
      </w:pPr>
      <w:rPr>
        <w:rFonts w:ascii="Times New Roman" w:hAnsi="Times New Roman" w:cs="Times New Roman"/>
        <w:color w:val="auto"/>
      </w:r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7">
    <w:nsid w:val="0248C179"/>
    <w:multiLevelType w:val="multilevel"/>
    <w:tmpl w:val="0248C17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8">
    <w:nsid w:val="03D62ECE"/>
    <w:multiLevelType w:val="multilevel"/>
    <w:tmpl w:val="03D62ECE"/>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9">
    <w:nsid w:val="2470EC97"/>
    <w:multiLevelType w:val="multilevel"/>
    <w:tmpl w:val="2470EC97"/>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rPr>
        <w:rFonts w:ascii="Times New Roman" w:hAnsi="Times New Roman"/>
        <w:b/>
        <w:bCs/>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0">
    <w:nsid w:val="25B654F3"/>
    <w:multiLevelType w:val="multilevel"/>
    <w:tmpl w:val="25B654F3"/>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1">
    <w:nsid w:val="59ADCABA"/>
    <w:multiLevelType w:val="multilevel"/>
    <w:tmpl w:val="59ADCABA"/>
    <w:lvl w:ilvl="0" w:tentative="0">
      <w:start w:val="1"/>
      <w:numFmt w:val="decimal"/>
      <w:pStyle w:val="105"/>
      <w:lvlText w:val="%1."/>
      <w:lvlJc w:val="left"/>
      <w:pPr>
        <w:tabs>
          <w:tab w:val="left" w:pos="0"/>
        </w:tabs>
        <w:ind w:left="360" w:hanging="360"/>
      </w:pPr>
      <w:rPr>
        <w:b/>
        <w:color w:val="auto"/>
      </w:rPr>
    </w:lvl>
    <w:lvl w:ilvl="1" w:tentative="0">
      <w:start w:val="1"/>
      <w:numFmt w:val="decimal"/>
      <w:pStyle w:val="73"/>
      <w:lvlText w:val="%1.%2."/>
      <w:lvlJc w:val="left"/>
      <w:pPr>
        <w:tabs>
          <w:tab w:val="left" w:pos="0"/>
        </w:tabs>
        <w:ind w:left="1283" w:hanging="432"/>
      </w:pPr>
      <w:rPr>
        <w:sz w:val="20"/>
        <w:szCs w:val="20"/>
      </w:rPr>
    </w:lvl>
    <w:lvl w:ilvl="2" w:tentative="0">
      <w:start w:val="1"/>
      <w:numFmt w:val="decimal"/>
      <w:pStyle w:val="79"/>
      <w:lvlText w:val="%1.%2.%3."/>
      <w:lvlJc w:val="left"/>
      <w:pPr>
        <w:tabs>
          <w:tab w:val="left" w:pos="0"/>
        </w:tabs>
        <w:ind w:left="1497" w:hanging="504"/>
      </w:pPr>
    </w:lvl>
    <w:lvl w:ilvl="3" w:tentative="0">
      <w:start w:val="1"/>
      <w:numFmt w:val="decimal"/>
      <w:pStyle w:val="85"/>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2">
    <w:nsid w:val="60382F6E"/>
    <w:multiLevelType w:val="multilevel"/>
    <w:tmpl w:val="60382F6E"/>
    <w:lvl w:ilvl="0" w:tentative="0">
      <w:start w:val="1"/>
      <w:numFmt w:val="decimal"/>
      <w:lvlText w:val="%1."/>
      <w:lvlJc w:val="left"/>
      <w:pPr>
        <w:tabs>
          <w:tab w:val="left" w:pos="0"/>
        </w:tabs>
        <w:ind w:left="360" w:hanging="360"/>
      </w:pPr>
      <w:rPr>
        <w:b/>
        <w:bCs/>
        <w:color w:val="auto"/>
      </w:rPr>
    </w:lvl>
    <w:lvl w:ilvl="1" w:tentative="0">
      <w:start w:val="1"/>
      <w:numFmt w:val="decimal"/>
      <w:lvlText w:val="%1.%2."/>
      <w:lvlJc w:val="left"/>
      <w:pPr>
        <w:tabs>
          <w:tab w:val="left" w:pos="0"/>
        </w:tabs>
        <w:ind w:left="792" w:hanging="432"/>
      </w:pPr>
      <w:rPr>
        <w:rFonts w:hint="default"/>
        <w:b/>
        <w:bCs/>
        <w:i w:val="0"/>
        <w:iCs w:val="0"/>
        <w:sz w:val="22"/>
        <w:szCs w:val="22"/>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3">
    <w:nsid w:val="72183CF9"/>
    <w:multiLevelType w:val="multilevel"/>
    <w:tmpl w:val="72183CF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num w:numId="1">
    <w:abstractNumId w:val="6"/>
  </w:num>
  <w:num w:numId="2">
    <w:abstractNumId w:val="4"/>
  </w:num>
  <w:num w:numId="3">
    <w:abstractNumId w:val="3"/>
  </w:num>
  <w:num w:numId="4">
    <w:abstractNumId w:val="11"/>
  </w:num>
  <w:num w:numId="5">
    <w:abstractNumId w:val="2"/>
  </w:num>
  <w:num w:numId="6">
    <w:abstractNumId w:val="1"/>
  </w:num>
  <w:num w:numId="7">
    <w:abstractNumId w:val="8"/>
  </w:num>
  <w:num w:numId="8">
    <w:abstractNumId w:val="10"/>
  </w:num>
  <w:num w:numId="9">
    <w:abstractNumId w:val="13"/>
  </w:num>
  <w:num w:numId="10">
    <w:abstractNumId w:val="7"/>
  </w:num>
  <w:num w:numId="11">
    <w:abstractNumId w:val="0"/>
  </w:num>
  <w:num w:numId="12">
    <w:abstractNumId w:val="5"/>
  </w:num>
  <w:num w:numId="13">
    <w:abstractNumId w:val="9"/>
  </w:num>
  <w:num w:numId="14">
    <w:abstractNumId w:val="12"/>
  </w:num>
  <w:num w:numId="15">
    <w:abstractNumId w:val="6"/>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autoHyphenation/>
  <w:displayHorizontalDrawingGridEvery w:val="1"/>
  <w:displayVerticalDrawingGridEvery w:val="1"/>
  <w:noPunctuationKerning w:val="1"/>
  <w:footnotePr>
    <w:footnote w:id="2"/>
    <w:footnote w:id="3"/>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4993F99"/>
    <w:rsid w:val="04EA5D2B"/>
    <w:rsid w:val="059A4166"/>
    <w:rsid w:val="089A7D2C"/>
    <w:rsid w:val="0BBB664F"/>
    <w:rsid w:val="0E8D3EEF"/>
    <w:rsid w:val="0EEE4CA6"/>
    <w:rsid w:val="13493EDA"/>
    <w:rsid w:val="14457D92"/>
    <w:rsid w:val="14BA590D"/>
    <w:rsid w:val="19B609D5"/>
    <w:rsid w:val="1E7E2B74"/>
    <w:rsid w:val="1E9D2342"/>
    <w:rsid w:val="214C3BAE"/>
    <w:rsid w:val="22FE2E7E"/>
    <w:rsid w:val="271F167F"/>
    <w:rsid w:val="28806BFD"/>
    <w:rsid w:val="2A136595"/>
    <w:rsid w:val="2A576E58"/>
    <w:rsid w:val="2AE423E9"/>
    <w:rsid w:val="2B7A2A8C"/>
    <w:rsid w:val="2CF00542"/>
    <w:rsid w:val="309645C5"/>
    <w:rsid w:val="327E09A5"/>
    <w:rsid w:val="36F67098"/>
    <w:rsid w:val="37AC75E6"/>
    <w:rsid w:val="38036639"/>
    <w:rsid w:val="3B0C3693"/>
    <w:rsid w:val="3D943C43"/>
    <w:rsid w:val="40751C4D"/>
    <w:rsid w:val="44734A5C"/>
    <w:rsid w:val="45F763D3"/>
    <w:rsid w:val="465A48FC"/>
    <w:rsid w:val="467459A6"/>
    <w:rsid w:val="476B4739"/>
    <w:rsid w:val="4ED129DC"/>
    <w:rsid w:val="4ED85BEA"/>
    <w:rsid w:val="4FFD53F6"/>
    <w:rsid w:val="504614E7"/>
    <w:rsid w:val="54D87DBE"/>
    <w:rsid w:val="55D01AD9"/>
    <w:rsid w:val="565B2D69"/>
    <w:rsid w:val="59AD702D"/>
    <w:rsid w:val="59D416FF"/>
    <w:rsid w:val="5BF736EF"/>
    <w:rsid w:val="60125AAD"/>
    <w:rsid w:val="62295DFA"/>
    <w:rsid w:val="6620029B"/>
    <w:rsid w:val="68892034"/>
    <w:rsid w:val="689D24D4"/>
    <w:rsid w:val="68DD1419"/>
    <w:rsid w:val="69D97F13"/>
    <w:rsid w:val="6CF66B29"/>
    <w:rsid w:val="6DC36570"/>
    <w:rsid w:val="6EC44A3A"/>
    <w:rsid w:val="71D17224"/>
    <w:rsid w:val="72CD12E4"/>
    <w:rsid w:val="73997C01"/>
    <w:rsid w:val="75D22C7C"/>
    <w:rsid w:val="77DE529E"/>
    <w:rsid w:val="77E86AC9"/>
    <w:rsid w:val="7857017F"/>
    <w:rsid w:val="78E82F33"/>
    <w:rsid w:val="7AF57124"/>
    <w:rsid w:val="7C9064ED"/>
    <w:rsid w:val="7D0F0FB9"/>
  </w:rsids>
  <m:mathPr>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qFormat="1" w:uiPriority="99" w:name="footnote text"/>
    <w:lsdException w:qFormat="1" w:uiPriority="99" w:semiHidden="0" w:name="annotation text"/>
    <w:lsdException w:qFormat="1" w:uiPriority="0" w:name="header"/>
    <w:lsdException w:qFormat="1" w:uiPriority="99" w:name="footer"/>
    <w:lsdException w:qFormat="1"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67" w:name="Placeholder Text"/>
    <w:lsdException w:qFormat="1" w:unhideWhenUsed="0" w:uiPriority="0" w:semiHidden="0" w:name="No Spacing"/>
    <w:lsdException w:qFormat="1" w:unhideWhenUsed="0" w:uiPriority="34" w:semiHidden="0" w:name="List Paragraph"/>
    <w:lsdException w:qFormat="1" w:unhideWhenUsed="0" w:uiPriority="0" w:semiHidden="0" w:name="Quote"/>
    <w:lsdException w:qFormat="1" w:unhideWhenUsed="0" w:uiPriority="30" w:semiHidden="0" w:name="Intense Quote"/>
  </w:latentStyles>
  <w:style w:type="paragraph" w:default="1" w:styleId="1">
    <w:name w:val="Normal"/>
    <w:qFormat/>
    <w:uiPriority w:val="0"/>
    <w:pPr>
      <w:widowControl/>
      <w:suppressAutoHyphens/>
      <w:bidi w:val="0"/>
      <w:spacing w:before="0" w:after="200" w:line="276" w:lineRule="auto"/>
      <w:jc w:val="left"/>
    </w:pPr>
    <w:rPr>
      <w:rFonts w:ascii="Times New Roman" w:hAnsi="Times New Roman" w:eastAsiaTheme="minorEastAsia" w:cstheme="minorBidi"/>
      <w:color w:val="auto"/>
      <w:kern w:val="0"/>
      <w:sz w:val="22"/>
      <w:szCs w:val="22"/>
      <w:lang w:val="pt-BR" w:eastAsia="en-US" w:bidi="ar-SA"/>
    </w:rPr>
  </w:style>
  <w:style w:type="paragraph" w:styleId="2">
    <w:name w:val="heading 1"/>
    <w:basedOn w:val="1"/>
    <w:next w:val="3"/>
    <w:qFormat/>
    <w:uiPriority w:val="9"/>
    <w:pPr>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outlineLvl w:val="0"/>
    </w:pPr>
    <w:rPr>
      <w:b/>
      <w:bCs/>
    </w:rPr>
  </w:style>
  <w:style w:type="paragraph" w:styleId="4">
    <w:name w:val="heading 2"/>
    <w:basedOn w:val="5"/>
    <w:next w:val="3"/>
    <w:semiHidden/>
    <w:unhideWhenUsed/>
    <w:qFormat/>
    <w:uiPriority w:val="9"/>
    <w:pPr>
      <w:spacing w:beforeAutospacing="1" w:afterAutospacing="1" w:line="240" w:lineRule="auto"/>
      <w:outlineLvl w:val="1"/>
    </w:pPr>
    <w:rPr>
      <w:rFonts w:ascii="Times New Roman" w:hAnsi="Times New Roman" w:eastAsia="Times New Roman" w:cs="Times New Roman"/>
      <w:b/>
      <w:bCs/>
      <w:sz w:val="36"/>
      <w:szCs w:val="36"/>
      <w:lang w:eastAsia="pt-BR"/>
    </w:rPr>
  </w:style>
  <w:style w:type="paragraph" w:styleId="6">
    <w:name w:val="heading 3"/>
    <w:basedOn w:val="1"/>
    <w:next w:val="1"/>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paragraph" w:styleId="7">
    <w:name w:val="heading 4"/>
    <w:basedOn w:val="1"/>
    <w:next w:val="3"/>
    <w:semiHidden/>
    <w:unhideWhenUsed/>
    <w:qFormat/>
    <w:uiPriority w:val="9"/>
    <w:pPr>
      <w:keepNext/>
      <w:keepLines/>
      <w:spacing w:before="40" w:after="0" w:line="240" w:lineRule="auto"/>
      <w:outlineLvl w:val="3"/>
    </w:pPr>
    <w:rPr>
      <w:rFonts w:asciiTheme="majorHAnsi" w:hAnsiTheme="majorHAnsi" w:eastAsiaTheme="majorEastAsia" w:cstheme="majorBidi"/>
      <w:i/>
      <w:iCs/>
      <w:color w:val="376092" w:themeColor="accent1" w:themeShade="BF"/>
      <w:sz w:val="24"/>
      <w:szCs w:val="24"/>
      <w:lang w:eastAsia="pt-BR"/>
    </w:rPr>
  </w:style>
  <w:style w:type="paragraph" w:styleId="8">
    <w:name w:val="heading 5"/>
    <w:basedOn w:val="5"/>
    <w:next w:val="3"/>
    <w:semiHidden/>
    <w:unhideWhenUsed/>
    <w:qFormat/>
    <w:uiPriority w:val="9"/>
    <w:pPr>
      <w:keepLines/>
      <w:numPr>
        <w:ilvl w:val="4"/>
        <w:numId w:val="2"/>
      </w:numPr>
      <w:suppressAutoHyphens/>
      <w:spacing w:before="0" w:after="80"/>
      <w:outlineLvl w:val="4"/>
    </w:pPr>
    <w:rPr>
      <w:rFonts w:ascii="Bookman Old Style" w:hAnsi="Bookman Old Style" w:eastAsia="Bookman Old Style" w:cs="Bookman Old Style"/>
      <w:color w:val="666666"/>
      <w:sz w:val="22"/>
      <w:szCs w:val="22"/>
    </w:rPr>
  </w:style>
  <w:style w:type="paragraph" w:styleId="9">
    <w:name w:val="heading 6"/>
    <w:basedOn w:val="1"/>
    <w:next w:val="1"/>
    <w:semiHidden/>
    <w:unhideWhenUsed/>
    <w:qFormat/>
    <w:uiPriority w:val="9"/>
    <w:pPr>
      <w:keepNext/>
      <w:keepLines/>
      <w:spacing w:before="40" w:after="0" w:line="259" w:lineRule="auto"/>
      <w:outlineLvl w:val="5"/>
    </w:pPr>
    <w:rPr>
      <w:rFonts w:asciiTheme="majorHAnsi" w:hAnsiTheme="majorHAnsi" w:eastAsiaTheme="majorEastAsia" w:cstheme="majorBidi"/>
      <w:color w:val="254061" w:themeColor="accent1" w:themeShade="80"/>
    </w:rPr>
  </w:style>
  <w:style w:type="paragraph" w:styleId="10">
    <w:name w:val="heading 7"/>
    <w:basedOn w:val="1"/>
    <w:next w:val="1"/>
    <w:semiHidden/>
    <w:unhideWhenUsed/>
    <w:qFormat/>
    <w:uiPriority w:val="9"/>
    <w:pPr>
      <w:keepNext/>
      <w:keepLines/>
      <w:spacing w:before="40" w:after="0" w:line="259" w:lineRule="auto"/>
      <w:outlineLvl w:val="6"/>
    </w:pPr>
    <w:rPr>
      <w:rFonts w:asciiTheme="minorHAnsi" w:hAnsiTheme="minorHAnsi" w:eastAsiaTheme="majorEastAsia" w:cstheme="majorBidi"/>
      <w:color w:val="595959" w:themeColor="text1" w:themeTint="A6"/>
      <w:kern w:val="2"/>
      <w14:textFill>
        <w14:solidFill>
          <w14:schemeClr w14:val="tx1">
            <w14:lumMod w14:val="65000"/>
            <w14:lumOff w14:val="35000"/>
          </w14:schemeClr>
        </w14:solidFill>
      </w14:textFill>
      <w14:ligatures w14:val="standardContextual"/>
    </w:rPr>
  </w:style>
  <w:style w:type="paragraph" w:styleId="11">
    <w:name w:val="heading 8"/>
    <w:basedOn w:val="1"/>
    <w:next w:val="1"/>
    <w:semiHidden/>
    <w:unhideWhenUsed/>
    <w:qFormat/>
    <w:uiPriority w:val="9"/>
    <w:pPr>
      <w:keepNext/>
      <w:keepLines/>
      <w:spacing w:before="0" w:after="0" w:line="259" w:lineRule="auto"/>
      <w:outlineLvl w:val="7"/>
    </w:pPr>
    <w:rPr>
      <w:rFonts w:asciiTheme="minorHAnsi" w:hAnsiTheme="minorHAnsi" w:eastAsiaTheme="majorEastAsia" w:cstheme="majorBidi"/>
      <w:i/>
      <w:iCs/>
      <w:color w:val="262626" w:themeColor="text1" w:themeTint="D9"/>
      <w:kern w:val="2"/>
      <w14:textFill>
        <w14:solidFill>
          <w14:schemeClr w14:val="tx1">
            <w14:lumMod w14:val="85000"/>
            <w14:lumOff w14:val="15000"/>
          </w14:schemeClr>
        </w14:solidFill>
      </w14:textFill>
      <w14:ligatures w14:val="standardContextual"/>
    </w:rPr>
  </w:style>
  <w:style w:type="paragraph" w:styleId="12">
    <w:name w:val="heading 9"/>
    <w:basedOn w:val="1"/>
    <w:next w:val="1"/>
    <w:semiHidden/>
    <w:unhideWhenUsed/>
    <w:qFormat/>
    <w:uiPriority w:val="9"/>
    <w:pPr>
      <w:keepNext/>
      <w:keepLines/>
      <w:spacing w:before="0" w:after="0" w:line="259" w:lineRule="auto"/>
      <w:outlineLvl w:val="8"/>
    </w:pPr>
    <w:rPr>
      <w:rFonts w:asciiTheme="minorHAnsi" w:hAnsiTheme="minorHAnsi" w:eastAsiaTheme="majorEastAsia" w:cstheme="majorBidi"/>
      <w:color w:val="262626" w:themeColor="text1" w:themeTint="D9"/>
      <w:kern w:val="2"/>
      <w14:textFill>
        <w14:solidFill>
          <w14:schemeClr w14:val="tx1">
            <w14:lumMod w14:val="85000"/>
            <w14:lumOff w14:val="15000"/>
          </w14:schemeClr>
        </w14:solidFill>
      </w14:textFill>
      <w14:ligatures w14:val="standardContextual"/>
    </w:rPr>
  </w:style>
  <w:style w:type="character" w:default="1" w:styleId="13">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89"/>
    <w:semiHidden/>
    <w:unhideWhenUsed/>
    <w:qFormat/>
    <w:uiPriority w:val="99"/>
    <w:pPr>
      <w:spacing w:before="0" w:after="120"/>
    </w:pPr>
  </w:style>
  <w:style w:type="paragraph" w:customStyle="1" w:styleId="5">
    <w:name w:val="Heading"/>
    <w:basedOn w:val="1"/>
    <w:next w:val="3"/>
    <w:qFormat/>
    <w:uiPriority w:val="6"/>
    <w:pPr>
      <w:keepNext/>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240" w:after="120" w:line="100" w:lineRule="atLeast"/>
    </w:pPr>
    <w:rPr>
      <w:rFonts w:ascii="Liberation Sans" w:hAnsi="Liberation Sans" w:eastAsia="Liberation Sans" w:cs="Liberation Sans"/>
      <w:color w:val="auto"/>
      <w:spacing w:val="0"/>
      <w:w w:val="100"/>
      <w:position w:val="0"/>
      <w:sz w:val="28"/>
      <w:szCs w:val="28"/>
      <w:u w:val="none"/>
      <w:shd w:val="clear" w:color="auto" w:fill="auto"/>
      <w:vertAlign w:val="baseline"/>
      <w:lang w:eastAsia="ar-SA" w:bidi="hi-IN"/>
    </w:rPr>
  </w:style>
  <w:style w:type="character" w:styleId="15">
    <w:name w:val="endnote reference"/>
    <w:semiHidden/>
    <w:unhideWhenUsed/>
    <w:qFormat/>
    <w:uiPriority w:val="99"/>
    <w:rPr>
      <w:vertAlign w:val="superscript"/>
    </w:rPr>
  </w:style>
  <w:style w:type="character" w:styleId="16">
    <w:name w:val="Strong"/>
    <w:basedOn w:val="13"/>
    <w:qFormat/>
    <w:uiPriority w:val="22"/>
    <w:rPr>
      <w:b/>
      <w:bCs/>
    </w:rPr>
  </w:style>
  <w:style w:type="character" w:styleId="17">
    <w:name w:val="annotation reference"/>
    <w:basedOn w:val="13"/>
    <w:semiHidden/>
    <w:unhideWhenUsed/>
    <w:qFormat/>
    <w:uiPriority w:val="99"/>
    <w:rPr>
      <w:sz w:val="16"/>
      <w:szCs w:val="16"/>
    </w:rPr>
  </w:style>
  <w:style w:type="character" w:styleId="18">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9">
    <w:name w:val="Emphasis"/>
    <w:qFormat/>
    <w:uiPriority w:val="20"/>
    <w:rPr>
      <w:rFonts w:cs="Times New Roman"/>
      <w:i/>
      <w:iCs/>
    </w:rPr>
  </w:style>
  <w:style w:type="character" w:styleId="20">
    <w:name w:val="footnote reference"/>
    <w:semiHidden/>
    <w:unhideWhenUsed/>
    <w:qFormat/>
    <w:uiPriority w:val="99"/>
    <w:rPr>
      <w:vertAlign w:val="superscript"/>
    </w:rPr>
  </w:style>
  <w:style w:type="character" w:styleId="21">
    <w:name w:val="Hyperlink"/>
    <w:basedOn w:val="13"/>
    <w:semiHidden/>
    <w:unhideWhenUsed/>
    <w:qFormat/>
    <w:uiPriority w:val="99"/>
    <w:rPr>
      <w:color w:val="000080"/>
      <w:u w:val="single"/>
    </w:rPr>
  </w:style>
  <w:style w:type="paragraph" w:styleId="22">
    <w:name w:val="toc 2"/>
    <w:basedOn w:val="23"/>
    <w:semiHidden/>
    <w:unhideWhenUsed/>
    <w:qFormat/>
    <w:uiPriority w:val="39"/>
  </w:style>
  <w:style w:type="paragraph" w:customStyle="1" w:styleId="23">
    <w:name w:val="Índice"/>
    <w:basedOn w:val="1"/>
    <w:qFormat/>
    <w:uiPriority w:val="0"/>
    <w:pPr>
      <w:suppressLineNumbers/>
    </w:pPr>
    <w:rPr>
      <w:rFonts w:cs="Arial"/>
    </w:rPr>
  </w:style>
  <w:style w:type="paragraph" w:styleId="24">
    <w:name w:val="List"/>
    <w:basedOn w:val="3"/>
    <w:semiHidden/>
    <w:unhideWhenUsed/>
    <w:qFormat/>
    <w:uiPriority w:val="99"/>
    <w:rPr>
      <w:rFonts w:cs="Arial"/>
    </w:rPr>
  </w:style>
  <w:style w:type="paragraph" w:styleId="25">
    <w:name w:val="toc 9"/>
    <w:basedOn w:val="23"/>
    <w:semiHidden/>
    <w:unhideWhenUsed/>
    <w:qFormat/>
    <w:uiPriority w:val="39"/>
  </w:style>
  <w:style w:type="paragraph" w:styleId="26">
    <w:name w:val="toc 6"/>
    <w:basedOn w:val="23"/>
    <w:semiHidden/>
    <w:unhideWhenUsed/>
    <w:qFormat/>
    <w:uiPriority w:val="39"/>
  </w:style>
  <w:style w:type="paragraph" w:styleId="27">
    <w:name w:val="annotation text"/>
    <w:basedOn w:val="1"/>
    <w:link w:val="57"/>
    <w:unhideWhenUsed/>
    <w:qFormat/>
    <w:uiPriority w:val="99"/>
    <w:pPr>
      <w:spacing w:line="240" w:lineRule="auto"/>
    </w:pPr>
    <w:rPr>
      <w:sz w:val="20"/>
      <w:szCs w:val="20"/>
    </w:rPr>
  </w:style>
  <w:style w:type="paragraph" w:styleId="28">
    <w:name w:val="toc 5"/>
    <w:basedOn w:val="23"/>
    <w:semiHidden/>
    <w:unhideWhenUsed/>
    <w:qFormat/>
    <w:uiPriority w:val="39"/>
  </w:style>
  <w:style w:type="paragraph" w:styleId="29">
    <w:name w:val="Body Text Indent 2"/>
    <w:basedOn w:val="1"/>
    <w:link w:val="88"/>
    <w:semiHidden/>
    <w:unhideWhenUsed/>
    <w:qFormat/>
    <w:uiPriority w:val="99"/>
    <w:pPr>
      <w:spacing w:before="0" w:after="0" w:line="240" w:lineRule="auto"/>
      <w:ind w:firstLine="708"/>
      <w:jc w:val="both"/>
    </w:pPr>
    <w:rPr>
      <w:rFonts w:ascii="Arial Narrow" w:hAnsi="Arial Narrow" w:eastAsia="Times New Roman" w:cs="Times New Roman"/>
      <w:sz w:val="24"/>
      <w:szCs w:val="20"/>
      <w:lang w:eastAsia="pt-BR"/>
    </w:rPr>
  </w:style>
  <w:style w:type="paragraph" w:styleId="30">
    <w:name w:val="Title"/>
    <w:basedOn w:val="1"/>
    <w:next w:val="3"/>
    <w:link w:val="103"/>
    <w:qFormat/>
    <w:uiPriority w:val="10"/>
    <w:pPr>
      <w:pBdr>
        <w:bottom w:val="single" w:color="4F81BD" w:themeColor="accent1" w:sz="8" w:space="4"/>
      </w:pBdr>
      <w:spacing w:before="0" w:after="300" w:line="240" w:lineRule="auto"/>
      <w:contextualSpacing/>
    </w:pPr>
    <w:rPr>
      <w:rFonts w:asciiTheme="majorHAnsi" w:hAnsiTheme="majorHAnsi" w:eastAsiaTheme="majorEastAsia" w:cstheme="majorBidi"/>
      <w:color w:val="17375E" w:themeColor="text2" w:themeShade="BF"/>
      <w:spacing w:val="5"/>
      <w:kern w:val="2"/>
      <w:sz w:val="52"/>
      <w:szCs w:val="52"/>
      <w:lang w:eastAsia="pt-BR"/>
    </w:rPr>
  </w:style>
  <w:style w:type="paragraph" w:styleId="31">
    <w:name w:val="List Bullet 5"/>
    <w:basedOn w:val="1"/>
    <w:semiHidden/>
    <w:unhideWhenUsed/>
    <w:qFormat/>
    <w:uiPriority w:val="99"/>
    <w:pPr>
      <w:numPr>
        <w:ilvl w:val="0"/>
        <w:numId w:val="3"/>
      </w:numPr>
      <w:spacing w:before="0" w:after="0" w:line="240" w:lineRule="auto"/>
      <w:contextualSpacing/>
    </w:pPr>
    <w:rPr>
      <w:rFonts w:ascii="Ecofont_Spranq_eco_Sans" w:hAnsi="Ecofont_Spranq_eco_Sans" w:cs="Tahoma" w:eastAsiaTheme="minorEastAsia"/>
      <w:sz w:val="24"/>
      <w:szCs w:val="24"/>
      <w:lang w:eastAsia="pt-BR"/>
    </w:rPr>
  </w:style>
  <w:style w:type="paragraph" w:styleId="32">
    <w:name w:val="Normal (Web)"/>
    <w:basedOn w:val="1"/>
    <w:semiHidden/>
    <w:unhideWhenUsed/>
    <w:qFormat/>
    <w:uiPriority w:val="99"/>
    <w:pPr>
      <w:spacing w:beforeAutospacing="1" w:afterAutospacing="1" w:line="240" w:lineRule="auto"/>
    </w:pPr>
    <w:rPr>
      <w:rFonts w:ascii="Times New Roman" w:hAnsi="Times New Roman" w:eastAsia="Times New Roman" w:cs="Times New Roman"/>
      <w:sz w:val="24"/>
      <w:szCs w:val="24"/>
      <w:lang w:eastAsia="pt-BR"/>
    </w:rPr>
  </w:style>
  <w:style w:type="paragraph" w:styleId="33">
    <w:name w:val="toc 4"/>
    <w:basedOn w:val="23"/>
    <w:semiHidden/>
    <w:unhideWhenUsed/>
    <w:qFormat/>
    <w:uiPriority w:val="39"/>
  </w:style>
  <w:style w:type="paragraph" w:styleId="34">
    <w:name w:val="toc 8"/>
    <w:basedOn w:val="23"/>
    <w:semiHidden/>
    <w:unhideWhenUsed/>
    <w:qFormat/>
    <w:uiPriority w:val="39"/>
  </w:style>
  <w:style w:type="paragraph" w:styleId="35">
    <w:name w:val="index heading"/>
    <w:basedOn w:val="36"/>
    <w:semiHidden/>
    <w:unhideWhenUsed/>
    <w:qFormat/>
    <w:uiPriority w:val="99"/>
  </w:style>
  <w:style w:type="paragraph" w:customStyle="1" w:styleId="36">
    <w:name w:val="Título12"/>
    <w:basedOn w:val="1"/>
    <w:next w:val="3"/>
    <w:qFormat/>
    <w:uiPriority w:val="0"/>
    <w:pPr>
      <w:keepNext/>
      <w:spacing w:before="240" w:after="120"/>
    </w:pPr>
    <w:rPr>
      <w:rFonts w:ascii="Liberation Sans" w:hAnsi="Liberation Sans" w:eastAsia="Microsoft YaHei" w:cs="Arial"/>
      <w:sz w:val="28"/>
      <w:szCs w:val="28"/>
    </w:rPr>
  </w:style>
  <w:style w:type="paragraph" w:styleId="37">
    <w:name w:val="header"/>
    <w:basedOn w:val="1"/>
    <w:link w:val="60"/>
    <w:semiHidden/>
    <w:unhideWhenUsed/>
    <w:qFormat/>
    <w:uiPriority w:val="0"/>
    <w:pPr>
      <w:tabs>
        <w:tab w:val="center" w:pos="4252"/>
        <w:tab w:val="right" w:pos="8504"/>
      </w:tabs>
      <w:spacing w:before="0" w:after="0" w:line="240" w:lineRule="auto"/>
    </w:pPr>
  </w:style>
  <w:style w:type="paragraph" w:styleId="38">
    <w:name w:val="annotation subject"/>
    <w:basedOn w:val="27"/>
    <w:next w:val="27"/>
    <w:link w:val="58"/>
    <w:semiHidden/>
    <w:unhideWhenUsed/>
    <w:qFormat/>
    <w:uiPriority w:val="99"/>
    <w:rPr>
      <w:b/>
      <w:bCs/>
    </w:rPr>
  </w:style>
  <w:style w:type="paragraph" w:styleId="39">
    <w:name w:val="footer"/>
    <w:basedOn w:val="1"/>
    <w:link w:val="61"/>
    <w:semiHidden/>
    <w:unhideWhenUsed/>
    <w:qFormat/>
    <w:uiPriority w:val="99"/>
    <w:pPr>
      <w:tabs>
        <w:tab w:val="center" w:pos="4252"/>
        <w:tab w:val="right" w:pos="8504"/>
      </w:tabs>
      <w:spacing w:before="0" w:after="0" w:line="240" w:lineRule="auto"/>
    </w:pPr>
  </w:style>
  <w:style w:type="paragraph" w:styleId="40">
    <w:name w:val="caption"/>
    <w:basedOn w:val="1"/>
    <w:semiHidden/>
    <w:unhideWhenUsed/>
    <w:qFormat/>
    <w:uiPriority w:val="35"/>
    <w:pPr>
      <w:suppressLineNumbers/>
      <w:spacing w:before="120" w:after="120"/>
    </w:pPr>
    <w:rPr>
      <w:rFonts w:cs="Arial"/>
      <w:i/>
      <w:iCs/>
      <w:sz w:val="24"/>
      <w:szCs w:val="24"/>
    </w:rPr>
  </w:style>
  <w:style w:type="paragraph" w:styleId="41">
    <w:name w:val="toc 7"/>
    <w:basedOn w:val="23"/>
    <w:semiHidden/>
    <w:unhideWhenUsed/>
    <w:qFormat/>
    <w:uiPriority w:val="39"/>
  </w:style>
  <w:style w:type="paragraph" w:styleId="42">
    <w:name w:val="toc 3"/>
    <w:basedOn w:val="23"/>
    <w:semiHidden/>
    <w:unhideWhenUsed/>
    <w:qFormat/>
    <w:uiPriority w:val="39"/>
  </w:style>
  <w:style w:type="paragraph" w:styleId="43">
    <w:name w:val="Balloon Text"/>
    <w:basedOn w:val="1"/>
    <w:link w:val="59"/>
    <w:semiHidden/>
    <w:unhideWhenUsed/>
    <w:qFormat/>
    <w:uiPriority w:val="99"/>
    <w:pPr>
      <w:spacing w:before="0" w:after="0" w:line="240" w:lineRule="auto"/>
    </w:pPr>
    <w:rPr>
      <w:rFonts w:ascii="Tahoma" w:hAnsi="Tahoma" w:cs="Tahoma"/>
      <w:sz w:val="16"/>
      <w:szCs w:val="16"/>
    </w:rPr>
  </w:style>
  <w:style w:type="paragraph" w:styleId="44">
    <w:name w:val="Subtitle"/>
    <w:basedOn w:val="1"/>
    <w:next w:val="1"/>
    <w:link w:val="225"/>
    <w:qFormat/>
    <w:uiPriority w:val="11"/>
    <w:pPr>
      <w:suppressAutoHyphens/>
      <w:jc w:val="center"/>
    </w:pPr>
    <w:rPr>
      <w:i/>
      <w:iCs/>
    </w:rPr>
  </w:style>
  <w:style w:type="paragraph" w:styleId="45">
    <w:name w:val="footnote text"/>
    <w:basedOn w:val="1"/>
    <w:link w:val="64"/>
    <w:semiHidden/>
    <w:unhideWhenUsed/>
    <w:qFormat/>
    <w:uiPriority w:val="99"/>
    <w:pPr>
      <w:spacing w:before="0" w:after="0" w:line="240" w:lineRule="auto"/>
    </w:pPr>
    <w:rPr>
      <w:sz w:val="20"/>
      <w:szCs w:val="20"/>
    </w:rPr>
  </w:style>
  <w:style w:type="paragraph" w:styleId="46">
    <w:name w:val="toc 1"/>
    <w:basedOn w:val="1"/>
    <w:next w:val="1"/>
    <w:semiHidden/>
    <w:unhideWhenUsed/>
    <w:qFormat/>
    <w:uiPriority w:val="39"/>
    <w:pPr>
      <w:spacing w:before="0" w:after="100"/>
    </w:pPr>
  </w:style>
  <w:style w:type="table" w:styleId="47">
    <w:name w:val="Table Grid"/>
    <w:basedOn w:val="1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8">
    <w:name w:val="Default Paragraph Font"/>
    <w:autoRedefine/>
    <w:qFormat/>
    <w:uiPriority w:val="6"/>
    <w:rPr>
      <w:rFonts w:ascii="Times New Roman" w:hAnsi="Times New Roman" w:eastAsia="Times New Roman" w:cs="Times New Roman"/>
    </w:rPr>
  </w:style>
  <w:style w:type="character" w:customStyle="1" w:styleId="49">
    <w:name w:val="Fonte parág. padrão1"/>
    <w:qFormat/>
    <w:uiPriority w:val="0"/>
  </w:style>
  <w:style w:type="paragraph" w:customStyle="1" w:styleId="50">
    <w:name w:val="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character" w:customStyle="1" w:styleId="51">
    <w:name w:val="Caracteres de nota de fim"/>
    <w:qFormat/>
    <w:uiPriority w:val="0"/>
    <w:rPr>
      <w:vertAlign w:val="superscript"/>
    </w:rPr>
  </w:style>
  <w:style w:type="character" w:customStyle="1" w:styleId="52">
    <w:name w:val="Caracteres de nota de rodapé"/>
    <w:semiHidden/>
    <w:unhideWhenUsed/>
    <w:qFormat/>
    <w:uiPriority w:val="99"/>
    <w:rPr>
      <w:vertAlign w:val="superscript"/>
    </w:rPr>
  </w:style>
  <w:style w:type="character" w:customStyle="1" w:styleId="53">
    <w:name w:val="normaltextrun"/>
    <w:basedOn w:val="13"/>
    <w:qFormat/>
    <w:uiPriority w:val="0"/>
  </w:style>
  <w:style w:type="character" w:customStyle="1" w:styleId="54">
    <w:name w:val="scxw155697705"/>
    <w:basedOn w:val="13"/>
    <w:qFormat/>
    <w:uiPriority w:val="0"/>
  </w:style>
  <w:style w:type="character" w:customStyle="1" w:styleId="55">
    <w:name w:val="eop"/>
    <w:basedOn w:val="13"/>
    <w:qFormat/>
    <w:uiPriority w:val="0"/>
  </w:style>
  <w:style w:type="character" w:customStyle="1" w:styleId="56">
    <w:name w:val="tabchar"/>
    <w:basedOn w:val="13"/>
    <w:qFormat/>
    <w:uiPriority w:val="0"/>
  </w:style>
  <w:style w:type="character" w:customStyle="1" w:styleId="57">
    <w:name w:val="Texto de comentário Char"/>
    <w:basedOn w:val="13"/>
    <w:link w:val="27"/>
    <w:qFormat/>
    <w:uiPriority w:val="99"/>
    <w:rPr>
      <w:sz w:val="20"/>
      <w:szCs w:val="20"/>
    </w:rPr>
  </w:style>
  <w:style w:type="character" w:customStyle="1" w:styleId="58">
    <w:name w:val="Assunto do comentário Char"/>
    <w:basedOn w:val="57"/>
    <w:link w:val="38"/>
    <w:semiHidden/>
    <w:qFormat/>
    <w:uiPriority w:val="99"/>
    <w:rPr>
      <w:b/>
      <w:bCs/>
      <w:sz w:val="20"/>
      <w:szCs w:val="20"/>
    </w:rPr>
  </w:style>
  <w:style w:type="character" w:customStyle="1" w:styleId="59">
    <w:name w:val="Texto de balão Char"/>
    <w:basedOn w:val="13"/>
    <w:link w:val="43"/>
    <w:qFormat/>
    <w:uiPriority w:val="99"/>
    <w:rPr>
      <w:rFonts w:ascii="Tahoma" w:hAnsi="Tahoma" w:cs="Tahoma"/>
      <w:sz w:val="16"/>
      <w:szCs w:val="16"/>
    </w:rPr>
  </w:style>
  <w:style w:type="character" w:customStyle="1" w:styleId="60">
    <w:name w:val="Cabeçalho Char"/>
    <w:basedOn w:val="13"/>
    <w:link w:val="37"/>
    <w:qFormat/>
    <w:uiPriority w:val="99"/>
  </w:style>
  <w:style w:type="character" w:customStyle="1" w:styleId="61">
    <w:name w:val="Rodapé Char"/>
    <w:basedOn w:val="13"/>
    <w:link w:val="39"/>
    <w:qFormat/>
    <w:uiPriority w:val="99"/>
  </w:style>
  <w:style w:type="character" w:customStyle="1" w:styleId="62">
    <w:name w:val="Hyperlink1"/>
    <w:basedOn w:val="13"/>
    <w:unhideWhenUsed/>
    <w:qFormat/>
    <w:uiPriority w:val="99"/>
    <w:rPr>
      <w:color w:val="0000FF" w:themeColor="hyperlink"/>
      <w:u w:val="single"/>
      <w14:textFill>
        <w14:solidFill>
          <w14:schemeClr w14:val="hlink"/>
        </w14:solidFill>
      </w14:textFill>
    </w:rPr>
  </w:style>
  <w:style w:type="character" w:customStyle="1" w:styleId="63">
    <w:name w:val="Unresolved Mention"/>
    <w:basedOn w:val="13"/>
    <w:semiHidden/>
    <w:unhideWhenUsed/>
    <w:qFormat/>
    <w:uiPriority w:val="99"/>
    <w:rPr>
      <w:color w:val="605E5C"/>
      <w:shd w:val="clear" w:fill="E1DFDD"/>
    </w:rPr>
  </w:style>
  <w:style w:type="character" w:customStyle="1" w:styleId="64">
    <w:name w:val="Texto de nota de rodapé Char"/>
    <w:basedOn w:val="13"/>
    <w:link w:val="45"/>
    <w:semiHidden/>
    <w:qFormat/>
    <w:uiPriority w:val="99"/>
    <w:rPr>
      <w:sz w:val="20"/>
      <w:szCs w:val="20"/>
    </w:rPr>
  </w:style>
  <w:style w:type="character" w:customStyle="1" w:styleId="65">
    <w:name w:val="Título 2 Char"/>
    <w:basedOn w:val="13"/>
    <w:qFormat/>
    <w:uiPriority w:val="0"/>
    <w:rPr>
      <w:rFonts w:ascii="Times New Roman" w:hAnsi="Times New Roman" w:eastAsia="Times New Roman" w:cs="Times New Roman"/>
      <w:b/>
      <w:bCs/>
      <w:sz w:val="36"/>
      <w:szCs w:val="36"/>
      <w:lang w:eastAsia="pt-BR"/>
    </w:rPr>
  </w:style>
  <w:style w:type="character" w:customStyle="1" w:styleId="66">
    <w:name w:val="producttitle"/>
    <w:basedOn w:val="13"/>
    <w:qFormat/>
    <w:uiPriority w:val="0"/>
  </w:style>
  <w:style w:type="character" w:customStyle="1" w:styleId="67">
    <w:name w:val="Parágrafo da Lista Char"/>
    <w:link w:val="68"/>
    <w:qFormat/>
    <w:locked/>
    <w:uiPriority w:val="34"/>
  </w:style>
  <w:style w:type="paragraph" w:styleId="68">
    <w:name w:val="List Paragraph"/>
    <w:basedOn w:val="1"/>
    <w:link w:val="67"/>
    <w:qFormat/>
    <w:uiPriority w:val="34"/>
    <w:pPr>
      <w:spacing w:before="0" w:after="200"/>
      <w:ind w:left="720"/>
      <w:contextualSpacing/>
    </w:pPr>
  </w:style>
  <w:style w:type="character" w:customStyle="1" w:styleId="69">
    <w:name w:val="Título 3 Char"/>
    <w:basedOn w:val="13"/>
    <w:qFormat/>
    <w:uiPriority w:val="9"/>
    <w:rPr>
      <w:rFonts w:asciiTheme="majorHAnsi" w:hAnsiTheme="majorHAnsi" w:eastAsiaTheme="majorEastAsia" w:cstheme="majorBidi"/>
      <w:color w:val="254061" w:themeColor="accent1" w:themeShade="80"/>
      <w:sz w:val="24"/>
      <w:szCs w:val="24"/>
    </w:rPr>
  </w:style>
  <w:style w:type="character" w:customStyle="1" w:styleId="70">
    <w:name w:val="Título 1 Char"/>
    <w:basedOn w:val="13"/>
    <w:qFormat/>
    <w:uiPriority w:val="9"/>
    <w:rPr>
      <w:rFonts w:ascii="Times New Roman" w:hAnsi="Times New Roman" w:eastAsia="Times New Roman" w:cs="Times New Roman"/>
      <w:b/>
      <w:bCs/>
      <w:sz w:val="24"/>
      <w:szCs w:val="24"/>
      <w:shd w:val="clear" w:fill="BFBFBF"/>
      <w:lang w:eastAsia="pt-BR"/>
    </w:rPr>
  </w:style>
  <w:style w:type="character" w:customStyle="1" w:styleId="71">
    <w:name w:val="apple-converted-space"/>
    <w:qFormat/>
    <w:uiPriority w:val="0"/>
  </w:style>
  <w:style w:type="character" w:customStyle="1" w:styleId="72">
    <w:name w:val="Nivel 2 Char"/>
    <w:basedOn w:val="13"/>
    <w:link w:val="73"/>
    <w:qFormat/>
    <w:locked/>
    <w:uiPriority w:val="0"/>
    <w:rPr>
      <w:rFonts w:ascii="Arial" w:hAnsi="Arial" w:eastAsia="Times New Roman" w:cs="Arial"/>
      <w:sz w:val="20"/>
      <w:szCs w:val="20"/>
      <w:lang w:eastAsia="pt-BR"/>
    </w:rPr>
  </w:style>
  <w:style w:type="paragraph" w:customStyle="1" w:styleId="73">
    <w:name w:val="Nivel 2"/>
    <w:basedOn w:val="1"/>
    <w:link w:val="72"/>
    <w:qFormat/>
    <w:uiPriority w:val="0"/>
    <w:pPr>
      <w:numPr>
        <w:ilvl w:val="1"/>
        <w:numId w:val="4"/>
      </w:numPr>
      <w:spacing w:before="120" w:after="120"/>
      <w:jc w:val="both"/>
    </w:pPr>
    <w:rPr>
      <w:rFonts w:ascii="Arial" w:hAnsi="Arial" w:eastAsia="Times New Roman" w:cs="Arial"/>
      <w:sz w:val="20"/>
      <w:szCs w:val="20"/>
      <w:lang w:eastAsia="pt-BR"/>
    </w:rPr>
  </w:style>
  <w:style w:type="character" w:customStyle="1" w:styleId="74">
    <w:name w:val="Nível 2 -Red Char"/>
    <w:basedOn w:val="72"/>
    <w:link w:val="75"/>
    <w:qFormat/>
    <w:uiPriority w:val="0"/>
    <w:rPr>
      <w:rFonts w:ascii="Arial" w:hAnsi="Arial" w:eastAsia="Times New Roman" w:cs="Arial"/>
      <w:i/>
      <w:iCs/>
      <w:color w:val="FF0000"/>
      <w:sz w:val="20"/>
      <w:szCs w:val="20"/>
      <w:lang w:eastAsia="pt-BR"/>
    </w:rPr>
  </w:style>
  <w:style w:type="paragraph" w:customStyle="1" w:styleId="75">
    <w:name w:val="Nível 2 -Red"/>
    <w:basedOn w:val="73"/>
    <w:link w:val="74"/>
    <w:qFormat/>
    <w:uiPriority w:val="0"/>
    <w:pPr>
      <w:numPr>
        <w:ilvl w:val="1"/>
        <w:numId w:val="5"/>
      </w:numPr>
      <w:ind w:left="0" w:firstLine="0"/>
    </w:pPr>
    <w:rPr>
      <w:i/>
      <w:iCs/>
      <w:color w:val="FF0000"/>
    </w:rPr>
  </w:style>
  <w:style w:type="character" w:customStyle="1" w:styleId="76">
    <w:name w:val="ou Char"/>
    <w:basedOn w:val="13"/>
    <w:link w:val="77"/>
    <w:qFormat/>
    <w:uiPriority w:val="0"/>
    <w:rPr>
      <w:rFonts w:ascii="Arial" w:hAnsi="Arial" w:cs="Arial"/>
      <w:b/>
      <w:bCs/>
      <w:i/>
      <w:iCs/>
      <w:color w:val="FF0000"/>
      <w:sz w:val="20"/>
      <w:szCs w:val="24"/>
      <w:u w:val="single"/>
      <w:lang w:eastAsia="pt-BR"/>
    </w:rPr>
  </w:style>
  <w:style w:type="paragraph" w:customStyle="1" w:styleId="77">
    <w:name w:val="ou"/>
    <w:basedOn w:val="68"/>
    <w:link w:val="76"/>
    <w:qFormat/>
    <w:uiPriority w:val="0"/>
    <w:pPr>
      <w:spacing w:before="60" w:after="60" w:line="259" w:lineRule="auto"/>
      <w:ind w:left="0"/>
      <w:contextualSpacing w:val="0"/>
      <w:jc w:val="center"/>
    </w:pPr>
    <w:rPr>
      <w:rFonts w:ascii="Arial" w:hAnsi="Arial" w:cs="Arial"/>
      <w:b/>
      <w:bCs/>
      <w:i/>
      <w:iCs/>
      <w:color w:val="FF0000"/>
      <w:sz w:val="20"/>
      <w:szCs w:val="24"/>
      <w:u w:val="single"/>
      <w:lang w:eastAsia="pt-BR"/>
    </w:rPr>
  </w:style>
  <w:style w:type="character" w:customStyle="1" w:styleId="78">
    <w:name w:val="Nível 3-R Char"/>
    <w:basedOn w:val="13"/>
    <w:link w:val="79"/>
    <w:qFormat/>
    <w:uiPriority w:val="0"/>
    <w:rPr>
      <w:rFonts w:ascii="Arial" w:hAnsi="Arial" w:cs="Arial" w:eastAsiaTheme="minorEastAsia"/>
      <w:i/>
      <w:iCs/>
      <w:color w:val="FF0000"/>
      <w:sz w:val="20"/>
      <w:szCs w:val="20"/>
      <w:lang w:eastAsia="pt-BR"/>
    </w:rPr>
  </w:style>
  <w:style w:type="paragraph" w:customStyle="1" w:styleId="79">
    <w:name w:val="Nível 3-R"/>
    <w:basedOn w:val="1"/>
    <w:link w:val="78"/>
    <w:qFormat/>
    <w:uiPriority w:val="0"/>
    <w:pPr>
      <w:numPr>
        <w:ilvl w:val="2"/>
        <w:numId w:val="4"/>
      </w:numPr>
      <w:spacing w:before="120" w:after="120"/>
      <w:ind w:left="284" w:firstLine="0"/>
      <w:jc w:val="both"/>
    </w:pPr>
    <w:rPr>
      <w:rFonts w:ascii="Arial" w:hAnsi="Arial" w:cs="Arial" w:eastAsiaTheme="minorEastAsia"/>
      <w:i/>
      <w:iCs/>
      <w:color w:val="FF0000"/>
      <w:sz w:val="20"/>
      <w:szCs w:val="20"/>
      <w:lang w:eastAsia="pt-BR"/>
    </w:rPr>
  </w:style>
  <w:style w:type="character" w:customStyle="1" w:styleId="80">
    <w:name w:val="SubTitNN Char"/>
    <w:basedOn w:val="13"/>
    <w:link w:val="81"/>
    <w:qFormat/>
    <w:uiPriority w:val="0"/>
    <w:rPr>
      <w:rFonts w:ascii="Arial" w:hAnsi="Arial" w:eastAsia="Times New Roman" w:cs="Arial"/>
      <w:b/>
      <w:bCs/>
      <w:iCs/>
      <w:sz w:val="20"/>
      <w:szCs w:val="20"/>
      <w:lang w:eastAsia="pt-BR"/>
    </w:rPr>
  </w:style>
  <w:style w:type="paragraph" w:customStyle="1" w:styleId="81">
    <w:name w:val="SubTitNN"/>
    <w:basedOn w:val="1"/>
    <w:link w:val="80"/>
    <w:qFormat/>
    <w:uiPriority w:val="0"/>
    <w:pPr>
      <w:spacing w:before="240" w:after="120"/>
      <w:jc w:val="both"/>
    </w:pPr>
    <w:rPr>
      <w:rFonts w:ascii="Arial" w:hAnsi="Arial" w:eastAsia="Times New Roman" w:cs="Arial"/>
      <w:b/>
      <w:bCs/>
      <w:iCs/>
      <w:sz w:val="20"/>
      <w:szCs w:val="20"/>
      <w:lang w:eastAsia="pt-BR"/>
    </w:rPr>
  </w:style>
  <w:style w:type="character" w:customStyle="1" w:styleId="82">
    <w:name w:val="Nível 3 Char"/>
    <w:basedOn w:val="78"/>
    <w:link w:val="83"/>
    <w:qFormat/>
    <w:uiPriority w:val="0"/>
    <w:rPr>
      <w:rFonts w:ascii="Arial" w:hAnsi="Arial" w:eastAsia="Times New Roman" w:cs="Arial"/>
      <w:i w:val="0"/>
      <w:iCs w:val="0"/>
      <w:color w:val="FF0000"/>
      <w:sz w:val="20"/>
      <w:szCs w:val="20"/>
      <w:lang w:eastAsia="pt-BR"/>
    </w:rPr>
  </w:style>
  <w:style w:type="paragraph" w:customStyle="1" w:styleId="83">
    <w:name w:val="Nível 3"/>
    <w:basedOn w:val="79"/>
    <w:link w:val="82"/>
    <w:qFormat/>
    <w:uiPriority w:val="0"/>
    <w:pPr>
      <w:numPr>
        <w:ilvl w:val="2"/>
        <w:numId w:val="5"/>
      </w:numPr>
      <w:ind w:left="284" w:firstLine="0"/>
    </w:pPr>
    <w:rPr>
      <w:rFonts w:eastAsia="Times New Roman"/>
      <w:i w:val="0"/>
      <w:iCs w:val="0"/>
    </w:rPr>
  </w:style>
  <w:style w:type="character" w:customStyle="1" w:styleId="84">
    <w:name w:val="Nível 4 Char"/>
    <w:basedOn w:val="82"/>
    <w:link w:val="85"/>
    <w:qFormat/>
    <w:uiPriority w:val="0"/>
    <w:rPr>
      <w:rFonts w:ascii="Arial" w:hAnsi="Arial" w:eastAsia="Times New Roman" w:cs="Arial"/>
      <w:color w:val="FF0000"/>
      <w:sz w:val="20"/>
      <w:szCs w:val="20"/>
      <w:lang w:eastAsia="pt-BR"/>
    </w:rPr>
  </w:style>
  <w:style w:type="paragraph" w:customStyle="1" w:styleId="85">
    <w:name w:val="Nível 4"/>
    <w:basedOn w:val="1"/>
    <w:link w:val="84"/>
    <w:qFormat/>
    <w:uiPriority w:val="0"/>
    <w:pPr>
      <w:numPr>
        <w:ilvl w:val="3"/>
        <w:numId w:val="4"/>
      </w:numPr>
      <w:spacing w:before="120" w:after="120"/>
      <w:ind w:left="567" w:firstLine="0"/>
      <w:jc w:val="both"/>
    </w:pPr>
    <w:rPr>
      <w:rFonts w:ascii="Arial" w:hAnsi="Arial" w:eastAsia="Times New Roman" w:cs="Arial"/>
      <w:sz w:val="20"/>
      <w:szCs w:val="20"/>
      <w:lang w:eastAsia="pt-BR"/>
    </w:rPr>
  </w:style>
  <w:style w:type="character" w:customStyle="1" w:styleId="86">
    <w:name w:val="markedcontent"/>
    <w:basedOn w:val="13"/>
    <w:qFormat/>
    <w:uiPriority w:val="0"/>
  </w:style>
  <w:style w:type="character" w:customStyle="1" w:styleId="87">
    <w:name w:val="highlight"/>
    <w:basedOn w:val="13"/>
    <w:qFormat/>
    <w:uiPriority w:val="0"/>
  </w:style>
  <w:style w:type="character" w:customStyle="1" w:styleId="88">
    <w:name w:val="Recuo de corpo de texto 2 Char"/>
    <w:basedOn w:val="13"/>
    <w:link w:val="29"/>
    <w:qFormat/>
    <w:uiPriority w:val="0"/>
    <w:rPr>
      <w:rFonts w:ascii="Arial Narrow" w:hAnsi="Arial Narrow" w:eastAsia="Times New Roman" w:cs="Times New Roman"/>
      <w:sz w:val="24"/>
      <w:szCs w:val="20"/>
      <w:lang w:eastAsia="pt-BR"/>
    </w:rPr>
  </w:style>
  <w:style w:type="character" w:customStyle="1" w:styleId="89">
    <w:name w:val="Corpo de texto Char"/>
    <w:basedOn w:val="13"/>
    <w:link w:val="3"/>
    <w:qFormat/>
    <w:uiPriority w:val="99"/>
  </w:style>
  <w:style w:type="character" w:customStyle="1" w:styleId="90">
    <w:name w:val="Nivel 3 Char"/>
    <w:basedOn w:val="13"/>
    <w:link w:val="91"/>
    <w:qFormat/>
    <w:uiPriority w:val="0"/>
    <w:rPr>
      <w:rFonts w:ascii="Arial" w:hAnsi="Arial" w:cs="Arial" w:eastAsiaTheme="minorEastAsia"/>
      <w:color w:val="000000"/>
      <w:sz w:val="20"/>
      <w:szCs w:val="20"/>
      <w:lang w:eastAsia="pt-BR"/>
    </w:rPr>
  </w:style>
  <w:style w:type="paragraph" w:customStyle="1" w:styleId="91">
    <w:name w:val="Nivel 3"/>
    <w:basedOn w:val="1"/>
    <w:link w:val="90"/>
    <w:qFormat/>
    <w:uiPriority w:val="0"/>
    <w:pPr>
      <w:spacing w:before="120" w:after="120"/>
      <w:ind w:left="284"/>
      <w:jc w:val="both"/>
    </w:pPr>
    <w:rPr>
      <w:rFonts w:ascii="Arial" w:hAnsi="Arial" w:cs="Arial" w:eastAsiaTheme="minorEastAsia"/>
      <w:color w:val="000000"/>
      <w:sz w:val="20"/>
      <w:szCs w:val="20"/>
      <w:lang w:eastAsia="pt-BR"/>
    </w:rPr>
  </w:style>
  <w:style w:type="character" w:customStyle="1" w:styleId="92">
    <w:name w:val="Nivel 4 Char"/>
    <w:basedOn w:val="13"/>
    <w:link w:val="93"/>
    <w:qFormat/>
    <w:uiPriority w:val="0"/>
    <w:rPr>
      <w:rFonts w:ascii="Arial" w:hAnsi="Arial" w:cs="Arial" w:eastAsiaTheme="minorEastAsia"/>
      <w:sz w:val="20"/>
      <w:szCs w:val="20"/>
      <w:lang w:eastAsia="pt-BR"/>
    </w:rPr>
  </w:style>
  <w:style w:type="paragraph" w:customStyle="1" w:styleId="93">
    <w:name w:val="Nivel 4"/>
    <w:basedOn w:val="91"/>
    <w:link w:val="92"/>
    <w:qFormat/>
    <w:uiPriority w:val="0"/>
    <w:pPr>
      <w:ind w:left="567"/>
    </w:pPr>
    <w:rPr>
      <w:color w:val="auto"/>
    </w:rPr>
  </w:style>
  <w:style w:type="character" w:customStyle="1" w:styleId="94">
    <w:name w:val="cf01"/>
    <w:basedOn w:val="13"/>
    <w:qFormat/>
    <w:uiPriority w:val="0"/>
    <w:rPr>
      <w:rFonts w:ascii="Segoe UI" w:hAnsi="Segoe UI" w:cs="Segoe UI"/>
      <w:sz w:val="18"/>
      <w:szCs w:val="18"/>
    </w:rPr>
  </w:style>
  <w:style w:type="character" w:customStyle="1" w:styleId="95">
    <w:name w:val="Título 4 Char"/>
    <w:basedOn w:val="13"/>
    <w:semiHidden/>
    <w:qFormat/>
    <w:uiPriority w:val="0"/>
    <w:rPr>
      <w:rFonts w:asciiTheme="majorHAnsi" w:hAnsiTheme="majorHAnsi" w:eastAsiaTheme="majorEastAsia" w:cstheme="majorBidi"/>
      <w:i/>
      <w:iCs/>
      <w:color w:val="376092" w:themeColor="accent1" w:themeShade="BF"/>
      <w:sz w:val="24"/>
      <w:szCs w:val="24"/>
      <w:lang w:eastAsia="pt-BR"/>
    </w:rPr>
  </w:style>
  <w:style w:type="character" w:customStyle="1" w:styleId="96">
    <w:name w:val="Título 6 Char"/>
    <w:basedOn w:val="13"/>
    <w:semiHidden/>
    <w:qFormat/>
    <w:uiPriority w:val="9"/>
    <w:rPr>
      <w:rFonts w:asciiTheme="majorHAnsi" w:hAnsiTheme="majorHAnsi" w:eastAsiaTheme="majorEastAsia" w:cstheme="majorBidi"/>
      <w:color w:val="254061" w:themeColor="accent1" w:themeShade="80"/>
    </w:rPr>
  </w:style>
  <w:style w:type="character" w:customStyle="1" w:styleId="97">
    <w:name w:val="normal__char1"/>
    <w:qFormat/>
    <w:uiPriority w:val="0"/>
    <w:rPr>
      <w:rFonts w:ascii="Arial" w:hAnsi="Arial" w:cs="Arial"/>
      <w:sz w:val="24"/>
      <w:szCs w:val="24"/>
      <w:u w:val="none"/>
    </w:rPr>
  </w:style>
  <w:style w:type="character" w:customStyle="1" w:styleId="98">
    <w:name w:val="apple-style-span"/>
    <w:basedOn w:val="13"/>
    <w:qFormat/>
    <w:uiPriority w:val="0"/>
  </w:style>
  <w:style w:type="character" w:customStyle="1" w:styleId="99">
    <w:name w:val="Citação Char"/>
    <w:basedOn w:val="13"/>
    <w:link w:val="100"/>
    <w:qFormat/>
    <w:uiPriority w:val="0"/>
    <w:rPr>
      <w:rFonts w:ascii="Arial" w:hAnsi="Arial" w:eastAsia="Calibri" w:cs="Tahoma"/>
      <w:i/>
      <w:iCs/>
      <w:color w:val="000000"/>
      <w:sz w:val="20"/>
      <w:szCs w:val="24"/>
      <w:shd w:val="clear" w:fill="FFFFCC"/>
    </w:rPr>
  </w:style>
  <w:style w:type="paragraph" w:styleId="100">
    <w:name w:val="Quote"/>
    <w:basedOn w:val="1"/>
    <w:next w:val="1"/>
    <w:link w:val="99"/>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ahoma"/>
      <w:i/>
      <w:iCs/>
      <w:color w:val="000000"/>
      <w:sz w:val="20"/>
      <w:szCs w:val="24"/>
    </w:rPr>
  </w:style>
  <w:style w:type="character" w:customStyle="1" w:styleId="101">
    <w:name w:val="Nota explicativa Char"/>
    <w:basedOn w:val="99"/>
    <w:link w:val="102"/>
    <w:qFormat/>
    <w:uiPriority w:val="0"/>
    <w:rPr>
      <w:rFonts w:ascii="Arial" w:hAnsi="Arial" w:eastAsia="Calibri" w:cs="Tahoma"/>
      <w:color w:val="000000"/>
      <w:sz w:val="20"/>
      <w:szCs w:val="20"/>
      <w:shd w:val="clear" w:fill="FFFFCC"/>
    </w:rPr>
  </w:style>
  <w:style w:type="paragraph" w:customStyle="1" w:styleId="102">
    <w:name w:val="Nota explicativa"/>
    <w:basedOn w:val="100"/>
    <w:link w:val="101"/>
    <w:qFormat/>
    <w:uiPriority w:val="0"/>
    <w:rPr>
      <w:szCs w:val="20"/>
    </w:rPr>
  </w:style>
  <w:style w:type="character" w:customStyle="1" w:styleId="103">
    <w:name w:val="Título Char"/>
    <w:basedOn w:val="13"/>
    <w:link w:val="30"/>
    <w:qFormat/>
    <w:uiPriority w:val="0"/>
    <w:rPr>
      <w:rFonts w:asciiTheme="majorHAnsi" w:hAnsiTheme="majorHAnsi" w:eastAsiaTheme="majorEastAsia" w:cstheme="majorBidi"/>
      <w:color w:val="17375E" w:themeColor="text2" w:themeShade="BF"/>
      <w:spacing w:val="5"/>
      <w:kern w:val="2"/>
      <w:sz w:val="52"/>
      <w:szCs w:val="52"/>
      <w:lang w:eastAsia="pt-BR"/>
    </w:rPr>
  </w:style>
  <w:style w:type="character" w:customStyle="1" w:styleId="104">
    <w:name w:val="Nivel 01 Char"/>
    <w:basedOn w:val="103"/>
    <w:link w:val="105"/>
    <w:qFormat/>
    <w:uiPriority w:val="0"/>
    <w:rPr>
      <w:rFonts w:ascii="Arial" w:hAnsi="Arial" w:cs="Arial" w:eastAsiaTheme="majorEastAsia"/>
      <w:b/>
      <w:bCs/>
      <w:color w:val="17375E" w:themeColor="text2" w:themeShade="BF"/>
      <w:spacing w:val="5"/>
      <w:kern w:val="2"/>
      <w:sz w:val="20"/>
      <w:szCs w:val="20"/>
      <w:lang w:eastAsia="pt-BR"/>
    </w:rPr>
  </w:style>
  <w:style w:type="paragraph" w:customStyle="1" w:styleId="105">
    <w:name w:val="Nivel 01"/>
    <w:basedOn w:val="2"/>
    <w:next w:val="1"/>
    <w:link w:val="104"/>
    <w:qFormat/>
    <w:uiPriority w:val="0"/>
    <w:pPr>
      <w:keepNext/>
      <w:keepLines/>
      <w:numPr>
        <w:ilvl w:val="0"/>
        <w:numId w:val="4"/>
      </w:numPr>
      <w:pBdr>
        <w:bottom w:val="none" w:color="auto" w:sz="0" w:space="0"/>
      </w:pBdr>
      <w:shd w:val="clear" w:color="auto" w:fill="auto"/>
      <w:tabs>
        <w:tab w:val="left" w:pos="567"/>
      </w:tabs>
      <w:spacing w:before="120" w:after="120" w:line="276" w:lineRule="auto"/>
      <w:ind w:left="0" w:firstLine="0"/>
      <w:textAlignment w:val="auto"/>
    </w:pPr>
    <w:rPr>
      <w:rFonts w:ascii="Arial" w:hAnsi="Arial" w:cs="Arial" w:eastAsiaTheme="majorEastAsia"/>
      <w:sz w:val="20"/>
      <w:szCs w:val="20"/>
      <w:lang w:eastAsia="en-US"/>
    </w:rPr>
  </w:style>
  <w:style w:type="character" w:customStyle="1" w:styleId="106">
    <w:name w:val="Nivel_01_Titulo Char"/>
    <w:basedOn w:val="104"/>
    <w:link w:val="107"/>
    <w:qFormat/>
    <w:uiPriority w:val="0"/>
    <w:rPr>
      <w:rFonts w:ascii="Arial" w:hAnsi="Arial" w:eastAsiaTheme="majorEastAsia" w:cstheme="majorBidi"/>
      <w:color w:val="000000" w:themeColor="text1"/>
      <w:spacing w:val="5"/>
      <w:kern w:val="2"/>
      <w:sz w:val="20"/>
      <w:szCs w:val="20"/>
      <w:lang w:eastAsia="pt-BR"/>
      <w14:textFill>
        <w14:solidFill>
          <w14:schemeClr w14:val="tx1"/>
        </w14:solidFill>
      </w14:textFill>
    </w:rPr>
  </w:style>
  <w:style w:type="paragraph" w:customStyle="1" w:styleId="107">
    <w:name w:val="Nivel_01_Titulo"/>
    <w:basedOn w:val="105"/>
    <w:link w:val="106"/>
    <w:qFormat/>
    <w:uiPriority w:val="0"/>
    <w:pPr>
      <w:numPr>
        <w:ilvl w:val="0"/>
        <w:numId w:val="5"/>
      </w:numPr>
      <w:spacing w:before="240" w:after="0" w:line="240" w:lineRule="auto"/>
      <w:ind w:left="0" w:firstLine="0"/>
      <w:jc w:val="left"/>
    </w:pPr>
    <w:rPr>
      <w:rFonts w:cstheme="majorBidi"/>
      <w:color w:val="000000" w:themeColor="text1"/>
      <w:spacing w:val="5"/>
      <w:kern w:val="2"/>
      <w:lang w:eastAsia="pt-BR"/>
      <w14:textFill>
        <w14:solidFill>
          <w14:schemeClr w14:val="tx1"/>
        </w14:solidFill>
      </w14:textFill>
    </w:rPr>
  </w:style>
  <w:style w:type="character" w:customStyle="1" w:styleId="108">
    <w:name w:val="Quote Char"/>
    <w:basedOn w:val="13"/>
    <w:link w:val="109"/>
    <w:qFormat/>
    <w:uiPriority w:val="0"/>
    <w:rPr>
      <w:rFonts w:ascii="Ecofont_Spranq_eco_Sans" w:hAnsi="Ecofont_Spranq_eco_Sans" w:eastAsia="Calibri" w:cs="Tahoma"/>
      <w:i/>
      <w:iCs/>
      <w:color w:val="000000"/>
      <w:shd w:val="clear" w:fill="FFFFCC"/>
    </w:rPr>
  </w:style>
  <w:style w:type="paragraph" w:customStyle="1" w:styleId="109">
    <w:name w:val="Citação1"/>
    <w:basedOn w:val="1"/>
    <w:next w:val="1"/>
    <w:link w:val="108"/>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Ecofont_Spranq_eco_Sans" w:hAnsi="Ecofont_Spranq_eco_Sans" w:eastAsia="Calibri" w:cs="Tahoma"/>
      <w:i/>
      <w:iCs/>
      <w:color w:val="000000"/>
    </w:rPr>
  </w:style>
  <w:style w:type="character" w:customStyle="1" w:styleId="110">
    <w:name w:val="spellingerror"/>
    <w:basedOn w:val="13"/>
    <w:qFormat/>
    <w:uiPriority w:val="0"/>
  </w:style>
  <w:style w:type="character" w:customStyle="1" w:styleId="111">
    <w:name w:val="Nivel1 Char"/>
    <w:basedOn w:val="70"/>
    <w:link w:val="112"/>
    <w:qFormat/>
    <w:uiPriority w:val="0"/>
    <w:rPr>
      <w:rFonts w:ascii="Arial" w:hAnsi="Arial" w:cs="Arial" w:eastAsiaTheme="majorEastAsia"/>
      <w:bCs w:val="0"/>
      <w:color w:val="000000"/>
      <w:sz w:val="28"/>
      <w:szCs w:val="28"/>
      <w:shd w:val="clear" w:fill="BFBFBF"/>
      <w:lang w:eastAsia="pt-BR"/>
    </w:rPr>
  </w:style>
  <w:style w:type="paragraph" w:customStyle="1" w:styleId="112">
    <w:name w:val="Nivel1"/>
    <w:basedOn w:val="2"/>
    <w:link w:val="111"/>
    <w:qFormat/>
    <w:uiPriority w:val="0"/>
    <w:pPr>
      <w:keepNext/>
      <w:keepLines/>
      <w:numPr>
        <w:ilvl w:val="0"/>
        <w:numId w:val="0"/>
      </w:numPr>
      <w:pBdr>
        <w:bottom w:val="none" w:color="auto" w:sz="0" w:space="0"/>
      </w:pBdr>
      <w:shd w:val="clear" w:color="auto" w:fill="auto"/>
      <w:spacing w:before="480" w:after="0" w:line="276" w:lineRule="auto"/>
      <w:ind w:left="357" w:hanging="357"/>
      <w:textAlignment w:val="auto"/>
    </w:pPr>
    <w:rPr>
      <w:rFonts w:ascii="Arial" w:hAnsi="Arial" w:cs="Arial" w:eastAsiaTheme="majorEastAsia"/>
      <w:bCs w:val="0"/>
      <w:color w:val="000000"/>
      <w:sz w:val="28"/>
      <w:szCs w:val="28"/>
    </w:rPr>
  </w:style>
  <w:style w:type="character" w:customStyle="1" w:styleId="113">
    <w:name w:val="cp_0020corpodespacho__char1"/>
    <w:qFormat/>
    <w:uiPriority w:val="0"/>
    <w:rPr>
      <w:rFonts w:ascii="Times New Roman" w:hAnsi="Times New Roman" w:cs="Times New Roman"/>
      <w:sz w:val="26"/>
      <w:szCs w:val="26"/>
      <w:u w:val="none"/>
    </w:rPr>
  </w:style>
  <w:style w:type="character" w:customStyle="1" w:styleId="114">
    <w:name w:val="em_0020ementa__char1"/>
    <w:qFormat/>
    <w:uiPriority w:val="0"/>
    <w:rPr>
      <w:rFonts w:ascii="Times New Roman" w:hAnsi="Times New Roman" w:cs="Times New Roman"/>
      <w:sz w:val="28"/>
      <w:szCs w:val="28"/>
      <w:u w:val="none"/>
    </w:rPr>
  </w:style>
  <w:style w:type="character" w:customStyle="1" w:styleId="115">
    <w:name w:val="Manoel"/>
    <w:qFormat/>
    <w:uiPriority w:val="0"/>
    <w:rPr>
      <w:rFonts w:ascii="Arial" w:hAnsi="Arial" w:cs="Arial"/>
      <w:color w:val="7030A0"/>
      <w:sz w:val="20"/>
    </w:rPr>
  </w:style>
  <w:style w:type="character" w:customStyle="1" w:styleId="116">
    <w:name w:val="Grade Colorida - Ênfase 1 Char"/>
    <w:link w:val="117"/>
    <w:qFormat/>
    <w:uiPriority w:val="29"/>
    <w:rPr>
      <w:rFonts w:ascii="Arial" w:hAnsi="Arial" w:eastAsia="Calibri" w:cs="Times New Roman"/>
      <w:i/>
      <w:iCs/>
      <w:color w:val="000000"/>
      <w:sz w:val="20"/>
      <w:szCs w:val="24"/>
      <w:shd w:val="clear" w:fill="FFFFCC"/>
    </w:rPr>
  </w:style>
  <w:style w:type="paragraph" w:customStyle="1" w:styleId="117">
    <w:name w:val="Grade Colorida - Ênfase 11"/>
    <w:basedOn w:val="1"/>
    <w:next w:val="1"/>
    <w:link w:val="116"/>
    <w:qFormat/>
    <w:uiPriority w:val="29"/>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imes New Roman"/>
      <w:i/>
      <w:iCs/>
      <w:color w:val="000000"/>
      <w:sz w:val="20"/>
      <w:szCs w:val="24"/>
    </w:rPr>
  </w:style>
  <w:style w:type="character" w:customStyle="1" w:styleId="118">
    <w:name w:val="Menção Pendente1"/>
    <w:basedOn w:val="13"/>
    <w:semiHidden/>
    <w:unhideWhenUsed/>
    <w:qFormat/>
    <w:uiPriority w:val="99"/>
    <w:rPr>
      <w:color w:val="605E5C"/>
      <w:shd w:val="clear" w:fill="E1DFDD"/>
    </w:rPr>
  </w:style>
  <w:style w:type="character" w:customStyle="1" w:styleId="119">
    <w:name w:val="Menção Pendente2"/>
    <w:basedOn w:val="13"/>
    <w:semiHidden/>
    <w:unhideWhenUsed/>
    <w:qFormat/>
    <w:uiPriority w:val="99"/>
    <w:rPr>
      <w:color w:val="605E5C"/>
      <w:shd w:val="clear" w:fill="E1DFDD"/>
    </w:rPr>
  </w:style>
  <w:style w:type="character" w:customStyle="1" w:styleId="120">
    <w:name w:val="Nível 2 Opcional Char"/>
    <w:basedOn w:val="13"/>
    <w:link w:val="121"/>
    <w:qFormat/>
    <w:uiPriority w:val="0"/>
    <w:rPr>
      <w:rFonts w:ascii="Arial" w:hAnsi="Arial" w:eastAsia="Times New Roman" w:cs="Arial"/>
      <w:i/>
      <w:color w:val="FF0000"/>
      <w:sz w:val="20"/>
      <w:szCs w:val="20"/>
      <w:lang w:eastAsia="pt-BR"/>
    </w:rPr>
  </w:style>
  <w:style w:type="paragraph" w:customStyle="1" w:styleId="121">
    <w:name w:val="Nível 2 Opcional"/>
    <w:basedOn w:val="73"/>
    <w:link w:val="120"/>
    <w:qFormat/>
    <w:uiPriority w:val="0"/>
    <w:pPr>
      <w:numPr>
        <w:ilvl w:val="0"/>
        <w:numId w:val="0"/>
      </w:numPr>
      <w:ind w:left="432" w:hanging="432"/>
    </w:pPr>
    <w:rPr>
      <w:i/>
      <w:color w:val="FF0000"/>
    </w:rPr>
  </w:style>
  <w:style w:type="character" w:customStyle="1" w:styleId="122">
    <w:name w:val="Nível 3 Opcional Char"/>
    <w:basedOn w:val="13"/>
    <w:link w:val="123"/>
    <w:qFormat/>
    <w:uiPriority w:val="0"/>
    <w:rPr>
      <w:rFonts w:ascii="Arial" w:hAnsi="Arial" w:eastAsia="Times New Roman" w:cs="Arial"/>
      <w:i/>
      <w:iCs/>
      <w:color w:val="FF0000"/>
      <w:sz w:val="20"/>
      <w:szCs w:val="20"/>
      <w:lang w:eastAsia="pt-BR"/>
    </w:rPr>
  </w:style>
  <w:style w:type="paragraph" w:customStyle="1" w:styleId="123">
    <w:name w:val="Nível 3 Opcional"/>
    <w:basedOn w:val="91"/>
    <w:link w:val="122"/>
    <w:qFormat/>
    <w:uiPriority w:val="0"/>
    <w:pPr>
      <w:ind w:left="1072" w:hanging="504"/>
    </w:pPr>
    <w:rPr>
      <w:rFonts w:eastAsia="Times New Roman"/>
      <w:i/>
      <w:iCs/>
      <w:color w:val="FF0000"/>
    </w:rPr>
  </w:style>
  <w:style w:type="character" w:styleId="124">
    <w:name w:val="Placeholder Text"/>
    <w:basedOn w:val="13"/>
    <w:semiHidden/>
    <w:qFormat/>
    <w:uiPriority w:val="67"/>
    <w:rPr>
      <w:color w:val="808080"/>
    </w:rPr>
  </w:style>
  <w:style w:type="character" w:customStyle="1" w:styleId="125">
    <w:name w:val="Menção Pendente3"/>
    <w:basedOn w:val="13"/>
    <w:semiHidden/>
    <w:unhideWhenUsed/>
    <w:qFormat/>
    <w:uiPriority w:val="99"/>
    <w:rPr>
      <w:color w:val="605E5C"/>
      <w:shd w:val="clear" w:fill="E1DFDD"/>
    </w:rPr>
  </w:style>
  <w:style w:type="character" w:customStyle="1" w:styleId="126">
    <w:name w:val="Menção Pendente4"/>
    <w:basedOn w:val="13"/>
    <w:semiHidden/>
    <w:unhideWhenUsed/>
    <w:qFormat/>
    <w:uiPriority w:val="99"/>
    <w:rPr>
      <w:color w:val="605E5C"/>
      <w:shd w:val="clear" w:fill="E1DFDD"/>
    </w:rPr>
  </w:style>
  <w:style w:type="character" w:customStyle="1" w:styleId="127">
    <w:name w:val="Nível 4-R Char"/>
    <w:basedOn w:val="92"/>
    <w:link w:val="128"/>
    <w:qFormat/>
    <w:uiPriority w:val="0"/>
    <w:rPr>
      <w:rFonts w:ascii="Arial" w:hAnsi="Arial" w:cs="Arial" w:eastAsiaTheme="minorEastAsia"/>
      <w:i/>
      <w:iCs/>
      <w:color w:val="FF0000"/>
      <w:sz w:val="20"/>
      <w:szCs w:val="20"/>
      <w:lang w:eastAsia="pt-BR"/>
    </w:rPr>
  </w:style>
  <w:style w:type="paragraph" w:customStyle="1" w:styleId="128">
    <w:name w:val="Nível 4-R"/>
    <w:basedOn w:val="93"/>
    <w:link w:val="127"/>
    <w:qFormat/>
    <w:uiPriority w:val="0"/>
    <w:pPr>
      <w:numPr>
        <w:ilvl w:val="3"/>
        <w:numId w:val="5"/>
      </w:numPr>
      <w:ind w:left="567" w:firstLine="0"/>
    </w:pPr>
    <w:rPr>
      <w:i/>
      <w:iCs/>
      <w:color w:val="FF0000"/>
    </w:rPr>
  </w:style>
  <w:style w:type="character" w:customStyle="1" w:styleId="129">
    <w:name w:val="Nível 1-Sem Num Char"/>
    <w:basedOn w:val="104"/>
    <w:link w:val="130"/>
    <w:qFormat/>
    <w:uiPriority w:val="0"/>
    <w:rPr>
      <w:rFonts w:ascii="Arial" w:hAnsi="Arial" w:cs="Arial" w:eastAsiaTheme="majorEastAsia"/>
      <w:color w:val="17375E" w:themeColor="text2" w:themeShade="BF"/>
      <w:spacing w:val="5"/>
      <w:kern w:val="2"/>
      <w:sz w:val="20"/>
      <w:szCs w:val="20"/>
      <w:lang w:eastAsia="pt-BR"/>
    </w:rPr>
  </w:style>
  <w:style w:type="paragraph" w:customStyle="1" w:styleId="130">
    <w:name w:val="Nível 1-Sem Num"/>
    <w:basedOn w:val="105"/>
    <w:link w:val="129"/>
    <w:qFormat/>
    <w:uiPriority w:val="0"/>
    <w:pPr>
      <w:numPr>
        <w:ilvl w:val="0"/>
        <w:numId w:val="0"/>
      </w:numPr>
      <w:spacing w:before="240" w:after="0" w:line="240" w:lineRule="auto"/>
      <w:ind w:left="357" w:firstLine="0"/>
      <w:outlineLvl w:val="1"/>
    </w:pPr>
    <w:rPr>
      <w:color w:val="FF0000"/>
      <w:spacing w:val="5"/>
      <w:kern w:val="2"/>
      <w:lang w:eastAsia="pt-BR"/>
    </w:rPr>
  </w:style>
  <w:style w:type="character" w:customStyle="1" w:styleId="131">
    <w:name w:val="Preâmbulo Char"/>
    <w:basedOn w:val="13"/>
    <w:link w:val="132"/>
    <w:qFormat/>
    <w:uiPriority w:val="0"/>
    <w:rPr>
      <w:rFonts w:ascii="Arial" w:hAnsi="Arial" w:eastAsia="Arial" w:cs="Arial"/>
      <w:bCs/>
      <w:sz w:val="20"/>
      <w:szCs w:val="20"/>
      <w:lang w:eastAsia="pt-BR"/>
    </w:rPr>
  </w:style>
  <w:style w:type="paragraph" w:customStyle="1" w:styleId="132">
    <w:name w:val="Preâmbulo"/>
    <w:basedOn w:val="1"/>
    <w:link w:val="131"/>
    <w:qFormat/>
    <w:uiPriority w:val="0"/>
    <w:pPr>
      <w:spacing w:before="480" w:after="120" w:line="360" w:lineRule="auto"/>
      <w:ind w:left="4253" w:right="-17"/>
      <w:jc w:val="both"/>
    </w:pPr>
    <w:rPr>
      <w:rFonts w:ascii="Arial" w:hAnsi="Arial" w:eastAsia="Arial" w:cs="Arial"/>
      <w:bCs/>
      <w:sz w:val="20"/>
      <w:szCs w:val="20"/>
      <w:lang w:eastAsia="pt-BR"/>
    </w:rPr>
  </w:style>
  <w:style w:type="character" w:customStyle="1" w:styleId="133">
    <w:name w:val="Menção Pendente5"/>
    <w:basedOn w:val="13"/>
    <w:semiHidden/>
    <w:unhideWhenUsed/>
    <w:qFormat/>
    <w:uiPriority w:val="99"/>
    <w:rPr>
      <w:color w:val="605E5C"/>
      <w:shd w:val="clear" w:fill="E1DFDD"/>
    </w:rPr>
  </w:style>
  <w:style w:type="character" w:customStyle="1" w:styleId="134">
    <w:name w:val="Vínculo de índice"/>
    <w:qFormat/>
    <w:uiPriority w:val="0"/>
  </w:style>
  <w:style w:type="character" w:customStyle="1" w:styleId="135">
    <w:name w:val="WW8Num4z0"/>
    <w:qFormat/>
    <w:uiPriority w:val="0"/>
    <w:rPr>
      <w:rFonts w:ascii="Arial" w:hAnsi="Arial" w:eastAsia="Arial" w:cs="Arial"/>
      <w:b/>
      <w:bCs/>
      <w:color w:val="000000"/>
      <w:kern w:val="2"/>
      <w:sz w:val="30"/>
      <w:szCs w:val="28"/>
      <w:lang w:val="pt-BR" w:eastAsia="ar-SA"/>
    </w:rPr>
  </w:style>
  <w:style w:type="character" w:customStyle="1" w:styleId="136">
    <w:name w:val="Fonte parág. padrão2"/>
    <w:qFormat/>
    <w:uiPriority w:val="0"/>
  </w:style>
  <w:style w:type="character" w:customStyle="1" w:styleId="137">
    <w:name w:val="Símbolos de numeração"/>
    <w:qFormat/>
    <w:uiPriority w:val="0"/>
  </w:style>
  <w:style w:type="character" w:customStyle="1" w:styleId="138">
    <w:name w:val="Marcadores"/>
    <w:qFormat/>
    <w:uiPriority w:val="0"/>
    <w:rPr>
      <w:rFonts w:ascii="OpenSymbol" w:hAnsi="OpenSymbol" w:eastAsia="OpenSymbol" w:cs="OpenSymbol"/>
    </w:rPr>
  </w:style>
  <w:style w:type="paragraph" w:customStyle="1" w:styleId="139">
    <w:name w:val="index heading1"/>
    <w:basedOn w:val="140"/>
    <w:qFormat/>
    <w:uiPriority w:val="0"/>
  </w:style>
  <w:style w:type="paragraph" w:customStyle="1" w:styleId="140">
    <w:name w:val="Título11"/>
    <w:basedOn w:val="1"/>
    <w:next w:val="3"/>
    <w:qFormat/>
    <w:uiPriority w:val="0"/>
    <w:pPr>
      <w:keepNext/>
      <w:spacing w:before="240" w:after="120"/>
    </w:pPr>
    <w:rPr>
      <w:rFonts w:ascii="Liberation Sans" w:hAnsi="Liberation Sans" w:eastAsia="Microsoft YaHei" w:cs="Arial"/>
      <w:sz w:val="28"/>
      <w:szCs w:val="28"/>
    </w:rPr>
  </w:style>
  <w:style w:type="paragraph" w:customStyle="1" w:styleId="141">
    <w:name w:val="Cabeçalho e Rodapé"/>
    <w:basedOn w:val="1"/>
    <w:qFormat/>
    <w:uiPriority w:val="0"/>
  </w:style>
  <w:style w:type="paragraph" w:customStyle="1" w:styleId="142">
    <w:name w:val="caption1"/>
    <w:basedOn w:val="1"/>
    <w:qFormat/>
    <w:uiPriority w:val="0"/>
    <w:pPr>
      <w:suppressLineNumbers/>
      <w:spacing w:before="120" w:after="120"/>
    </w:pPr>
    <w:rPr>
      <w:rFonts w:cs="Arial"/>
      <w:i/>
      <w:iCs/>
      <w:sz w:val="24"/>
      <w:szCs w:val="24"/>
    </w:rPr>
  </w:style>
  <w:style w:type="paragraph" w:customStyle="1" w:styleId="143">
    <w:name w:val="index heading11"/>
    <w:basedOn w:val="144"/>
    <w:qFormat/>
    <w:uiPriority w:val="0"/>
  </w:style>
  <w:style w:type="paragraph" w:customStyle="1" w:styleId="144">
    <w:name w:val="Título1"/>
    <w:basedOn w:val="1"/>
    <w:next w:val="3"/>
    <w:qFormat/>
    <w:uiPriority w:val="0"/>
    <w:pPr>
      <w:keepNext/>
      <w:spacing w:before="240" w:after="120"/>
    </w:pPr>
    <w:rPr>
      <w:rFonts w:ascii="Liberation Sans" w:hAnsi="Liberation Sans" w:eastAsia="Microsoft YaHei" w:cs="Arial"/>
      <w:sz w:val="28"/>
      <w:szCs w:val="28"/>
    </w:rPr>
  </w:style>
  <w:style w:type="paragraph" w:customStyle="1" w:styleId="145">
    <w:name w:val="caption11"/>
    <w:basedOn w:val="1"/>
    <w:qFormat/>
    <w:uiPriority w:val="0"/>
    <w:pPr>
      <w:suppressLineNumbers/>
      <w:spacing w:before="120" w:after="120"/>
    </w:pPr>
    <w:rPr>
      <w:rFonts w:cs="Arial"/>
      <w:i/>
      <w:iCs/>
      <w:sz w:val="24"/>
      <w:szCs w:val="24"/>
    </w:rPr>
  </w:style>
  <w:style w:type="paragraph" w:customStyle="1" w:styleId="146">
    <w:name w:val="Default"/>
    <w:qFormat/>
    <w:uiPriority w:val="0"/>
    <w:pPr>
      <w:widowControl/>
      <w:suppressAutoHyphens/>
      <w:bidi w:val="0"/>
      <w:spacing w:before="0" w:after="0" w:line="240" w:lineRule="auto"/>
      <w:jc w:val="left"/>
    </w:pPr>
    <w:rPr>
      <w:rFonts w:ascii="Calibri" w:hAnsi="Calibri" w:eastAsia="Times New Roman" w:cs="Calibri"/>
      <w:color w:val="000000"/>
      <w:kern w:val="0"/>
      <w:sz w:val="24"/>
      <w:szCs w:val="24"/>
      <w:lang w:val="pt-BR" w:eastAsia="pt-BR" w:bidi="ar-SA"/>
    </w:rPr>
  </w:style>
  <w:style w:type="paragraph" w:customStyle="1" w:styleId="147">
    <w:name w:val="TOC Heading"/>
    <w:basedOn w:val="2"/>
    <w:next w:val="1"/>
    <w:unhideWhenUsed/>
    <w:qFormat/>
    <w:uiPriority w:val="39"/>
    <w:pPr>
      <w:keepNext/>
      <w:keepLines/>
      <w:numPr>
        <w:ilvl w:val="0"/>
        <w:numId w:val="0"/>
      </w:numPr>
      <w:pBdr>
        <w:bottom w:val="none" w:color="auto" w:sz="0" w:space="0"/>
      </w:pBdr>
      <w:shd w:val="clear" w:color="auto" w:fill="auto"/>
      <w:spacing w:before="240" w:after="0" w:line="259" w:lineRule="auto"/>
      <w:jc w:val="left"/>
      <w:textAlignment w:val="auto"/>
      <w:outlineLvl w:val="9"/>
    </w:pPr>
    <w:rPr>
      <w:rFonts w:asciiTheme="majorHAnsi" w:hAnsiTheme="majorHAnsi" w:eastAsiaTheme="majorEastAsia" w:cstheme="majorBidi"/>
      <w:b w:val="0"/>
      <w:bCs w:val="0"/>
      <w:color w:val="376092" w:themeColor="accent1" w:themeShade="BF"/>
      <w:sz w:val="32"/>
      <w:szCs w:val="32"/>
    </w:rPr>
  </w:style>
  <w:style w:type="paragraph" w:customStyle="1" w:styleId="148">
    <w:name w:val="WW-Corpo de texto 2"/>
    <w:basedOn w:val="1"/>
    <w:qFormat/>
    <w:uiPriority w:val="0"/>
    <w:pPr>
      <w:suppressAutoHyphens/>
      <w:spacing w:before="0" w:after="0" w:line="200" w:lineRule="exact"/>
      <w:jc w:val="both"/>
    </w:pPr>
    <w:rPr>
      <w:rFonts w:ascii="Times New Roman" w:hAnsi="Times New Roman" w:eastAsia="Times New Roman" w:cs="Times New Roman"/>
      <w:sz w:val="20"/>
      <w:szCs w:val="20"/>
      <w:lang w:eastAsia="pt-BR"/>
    </w:rPr>
  </w:style>
  <w:style w:type="paragraph" w:customStyle="1" w:styleId="149">
    <w:name w:val="Nivel 5"/>
    <w:basedOn w:val="93"/>
    <w:qFormat/>
    <w:uiPriority w:val="0"/>
    <w:pPr>
      <w:ind w:left="1276"/>
    </w:pPr>
  </w:style>
  <w:style w:type="paragraph" w:customStyle="1" w:styleId="150">
    <w:name w:val="pf0"/>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1">
    <w:name w:val="Nível 2"/>
    <w:basedOn w:val="1"/>
    <w:next w:val="1"/>
    <w:qFormat/>
    <w:uiPriority w:val="0"/>
    <w:pPr>
      <w:spacing w:before="0" w:after="120" w:line="240" w:lineRule="auto"/>
      <w:jc w:val="both"/>
    </w:pPr>
    <w:rPr>
      <w:rFonts w:ascii="Arial" w:hAnsi="Arial" w:cs="Times New Roman" w:eastAsiaTheme="minorEastAsia"/>
      <w:b/>
      <w:sz w:val="24"/>
      <w:szCs w:val="20"/>
      <w:lang w:eastAsia="pt-BR"/>
    </w:rPr>
  </w:style>
  <w:style w:type="paragraph" w:customStyle="1" w:styleId="152">
    <w:name w:val="PADRÃO"/>
    <w:qFormat/>
    <w:uiPriority w:val="0"/>
    <w:pPr>
      <w:keepNext/>
      <w:widowControl w:val="0"/>
      <w:shd w:val="clear" w:color="auto" w:fill="FFFFFF"/>
      <w:suppressAutoHyphens/>
      <w:bidi w:val="0"/>
      <w:spacing w:before="119" w:after="119" w:line="276" w:lineRule="auto"/>
      <w:ind w:firstLine="567"/>
      <w:jc w:val="both"/>
      <w:textAlignment w:val="baseline"/>
    </w:pPr>
    <w:rPr>
      <w:rFonts w:ascii="Ecofont_Spranq_eco_Sans" w:hAnsi="Ecofont_Spranq_eco_Sans" w:eastAsia="WenQuanYi Micro Hei" w:cs="Lohit Hindi"/>
      <w:color w:val="auto"/>
      <w:kern w:val="0"/>
      <w:sz w:val="20"/>
      <w:szCs w:val="24"/>
      <w:lang w:val="pt-BR" w:eastAsia="zh-CN" w:bidi="hi-IN"/>
    </w:rPr>
  </w:style>
  <w:style w:type="paragraph" w:customStyle="1" w:styleId="153">
    <w:name w:val="Parágrafo da Lista1"/>
    <w:basedOn w:val="1"/>
    <w:qFormat/>
    <w:uiPriority w:val="0"/>
    <w:pPr>
      <w:spacing w:before="0" w:after="0" w:line="240" w:lineRule="auto"/>
      <w:ind w:left="720"/>
    </w:pPr>
    <w:rPr>
      <w:rFonts w:ascii="Ecofont_Spranq_eco_Sans" w:hAnsi="Ecofont_Spranq_eco_Sans" w:eastAsia="Times New Roman" w:cs="Ecofont_Spranq_eco_Sans"/>
      <w:sz w:val="24"/>
      <w:szCs w:val="24"/>
      <w:lang w:eastAsia="pt-BR"/>
    </w:rPr>
  </w:style>
  <w:style w:type="paragraph" w:customStyle="1" w:styleId="154">
    <w:name w:val="Nivel 1"/>
    <w:basedOn w:val="73"/>
    <w:next w:val="73"/>
    <w:qFormat/>
    <w:uiPriority w:val="0"/>
    <w:pPr>
      <w:numPr>
        <w:ilvl w:val="0"/>
        <w:numId w:val="0"/>
      </w:numPr>
      <w:ind w:left="360" w:hanging="360"/>
    </w:pPr>
    <w:rPr>
      <w:rFonts w:eastAsiaTheme="minorEastAsia"/>
      <w:b/>
      <w:color w:val="000000"/>
    </w:rPr>
  </w:style>
  <w:style w:type="paragraph" w:customStyle="1" w:styleId="155">
    <w:name w:val="textbody"/>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6">
    <w:name w:val="em_0020ementa"/>
    <w:basedOn w:val="1"/>
    <w:qFormat/>
    <w:uiPriority w:val="0"/>
    <w:pPr>
      <w:spacing w:before="0" w:after="0" w:line="240" w:lineRule="auto"/>
      <w:ind w:left="4160"/>
      <w:jc w:val="both"/>
    </w:pPr>
    <w:rPr>
      <w:rFonts w:ascii="Times New Roman" w:hAnsi="Times New Roman" w:eastAsia="Times New Roman" w:cs="Times New Roman"/>
      <w:sz w:val="28"/>
      <w:szCs w:val="28"/>
      <w:lang w:eastAsia="pt-BR"/>
    </w:rPr>
  </w:style>
  <w:style w:type="paragraph" w:customStyle="1" w:styleId="157">
    <w:name w:val="Revision"/>
    <w:semiHidden/>
    <w:qFormat/>
    <w:uiPriority w:val="99"/>
    <w:pPr>
      <w:widowControl/>
      <w:suppressAutoHyphens/>
      <w:bidi w:val="0"/>
      <w:spacing w:before="0" w:after="0" w:line="240" w:lineRule="auto"/>
      <w:jc w:val="left"/>
    </w:pPr>
    <w:rPr>
      <w:rFonts w:ascii="Ecofont_Spranq_eco_Sans" w:hAnsi="Ecofont_Spranq_eco_Sans" w:eastAsia="Times New Roman" w:cs="Tahoma"/>
      <w:color w:val="auto"/>
      <w:kern w:val="0"/>
      <w:sz w:val="24"/>
      <w:szCs w:val="24"/>
      <w:lang w:val="pt-BR" w:eastAsia="pt-BR" w:bidi="ar-SA"/>
    </w:rPr>
  </w:style>
  <w:style w:type="paragraph" w:customStyle="1" w:styleId="158">
    <w:name w:val="texto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9">
    <w:name w:val="x_western"/>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0">
    <w:name w:val="TCU - Ac - item 9 - §§_0"/>
    <w:basedOn w:val="1"/>
    <w:qFormat/>
    <w:uiPriority w:val="0"/>
    <w:pPr>
      <w:spacing w:before="0" w:after="0" w:line="240" w:lineRule="auto"/>
      <w:ind w:firstLine="1134"/>
      <w:jc w:val="both"/>
    </w:pPr>
    <w:rPr>
      <w:rFonts w:ascii="Times New Roman" w:hAnsi="Times New Roman" w:eastAsia="Times New Roman" w:cs="Times New Roman"/>
      <w:sz w:val="24"/>
    </w:rPr>
  </w:style>
  <w:style w:type="paragraph" w:customStyle="1" w:styleId="161">
    <w:name w:val="Normal_1"/>
    <w:qFormat/>
    <w:uiPriority w:val="0"/>
    <w:pPr>
      <w:widowControl/>
      <w:suppressAutoHyphens/>
      <w:bidi w:val="0"/>
      <w:spacing w:before="0" w:after="0" w:line="240" w:lineRule="auto"/>
      <w:jc w:val="left"/>
    </w:pPr>
    <w:rPr>
      <w:rFonts w:ascii="Times New Roman" w:hAnsi="Times New Roman" w:eastAsia="Times New Roman" w:cs="Times New Roman"/>
      <w:color w:val="auto"/>
      <w:kern w:val="0"/>
      <w:sz w:val="24"/>
      <w:szCs w:val="22"/>
      <w:lang w:val="pt-BR" w:eastAsia="en-US" w:bidi="ar-SA"/>
    </w:rPr>
  </w:style>
  <w:style w:type="paragraph" w:customStyle="1" w:styleId="162">
    <w:name w:val="tcu_-__ac_-_item_9_-_1ª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3">
    <w:name w:val="texto_justificado_recuo_primeira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4">
    <w:name w:val="texto_justific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5">
    <w:name w:val="Sombreamento Médio 1 - Ênfase 31"/>
    <w:basedOn w:val="1"/>
    <w:next w:val="1"/>
    <w:qFormat/>
    <w:uiPriority w:val="0"/>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pPr>
    <w:rPr>
      <w:rFonts w:ascii="Ecofont_Spranq_eco_Sans" w:hAnsi="Ecofont_Spranq_eco_Sans" w:eastAsia="Calibri" w:cs="Tahoma"/>
      <w:i/>
      <w:iCs/>
      <w:color w:val="000000"/>
      <w:sz w:val="20"/>
      <w:szCs w:val="24"/>
      <w:lang w:eastAsia="zh-CN"/>
    </w:rPr>
  </w:style>
  <w:style w:type="paragraph" w:customStyle="1" w:styleId="166">
    <w:name w:val="corp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7">
    <w:name w:val="item_nivel2"/>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8">
    <w:name w:val="item_nivel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9">
    <w:name w:val="item_alinea_letr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0">
    <w:name w:val="Standard"/>
    <w:qFormat/>
    <w:uiPriority w:val="0"/>
    <w:pPr>
      <w:widowControl/>
      <w:suppressAutoHyphens/>
      <w:bidi w:val="0"/>
      <w:spacing w:before="0" w:after="0" w:line="240" w:lineRule="auto"/>
      <w:jc w:val="left"/>
    </w:pPr>
    <w:rPr>
      <w:rFonts w:ascii="Liberation Serif" w:hAnsi="Liberation Serif" w:eastAsia="NSimSun" w:cs="Lucida Sans"/>
      <w:color w:val="auto"/>
      <w:kern w:val="2"/>
      <w:sz w:val="24"/>
      <w:szCs w:val="24"/>
      <w:lang w:val="pt-BR" w:eastAsia="zh-CN" w:bidi="hi-IN"/>
    </w:rPr>
  </w:style>
  <w:style w:type="paragraph" w:customStyle="1" w:styleId="171">
    <w:name w:val="Text body"/>
    <w:basedOn w:val="170"/>
    <w:qFormat/>
    <w:uiPriority w:val="0"/>
    <w:pPr>
      <w:spacing w:before="0" w:after="140" w:line="276" w:lineRule="auto"/>
    </w:pPr>
  </w:style>
  <w:style w:type="paragraph" w:customStyle="1" w:styleId="172">
    <w:name w:val="dou-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3">
    <w:name w:val="citação 2"/>
    <w:basedOn w:val="100"/>
    <w:qFormat/>
    <w:uiPriority w:val="0"/>
    <w:pPr>
      <w:overflowPunct w:val="0"/>
    </w:pPr>
    <w:rPr>
      <w:szCs w:val="20"/>
    </w:rPr>
  </w:style>
  <w:style w:type="paragraph" w:customStyle="1" w:styleId="174">
    <w:name w:val="tabela_texto_alinhado_esquerd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5">
    <w:name w:val="tabela_texto_8"/>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6">
    <w:name w:val="tabela_texto_centraliz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7">
    <w:name w:val="texto_centralizado_maiusculas"/>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8">
    <w:name w:val="Conteúdo da tabela"/>
    <w:basedOn w:val="1"/>
    <w:qFormat/>
    <w:uiPriority w:val="0"/>
    <w:pPr>
      <w:suppressAutoHyphens/>
    </w:pPr>
    <w:rPr>
      <w:lang w:eastAsia="ar-SA"/>
    </w:rPr>
  </w:style>
  <w:style w:type="paragraph" w:customStyle="1" w:styleId="179">
    <w:name w:val="Título de tabela"/>
    <w:basedOn w:val="178"/>
    <w:qFormat/>
    <w:uiPriority w:val="0"/>
    <w:pPr>
      <w:suppressLineNumbers/>
      <w:jc w:val="center"/>
    </w:pPr>
    <w:rPr>
      <w:b/>
      <w:bCs/>
    </w:rPr>
  </w:style>
  <w:style w:type="paragraph" w:customStyle="1" w:styleId="180">
    <w:name w:val="Table Paragraph"/>
    <w:basedOn w:val="1"/>
    <w:qFormat/>
    <w:uiPriority w:val="0"/>
  </w:style>
  <w:style w:type="paragraph" w:styleId="181">
    <w:name w:val="No Spacing"/>
    <w:qFormat/>
    <w:uiPriority w:val="0"/>
    <w:pPr>
      <w:widowControl/>
      <w:suppressAutoHyphens/>
      <w:bidi w:val="0"/>
      <w:spacing w:before="0" w:after="0" w:line="100" w:lineRule="atLeast"/>
      <w:jc w:val="left"/>
    </w:pPr>
    <w:rPr>
      <w:rFonts w:cs="Calibri" w:asciiTheme="minorHAnsi" w:hAnsiTheme="minorHAnsi" w:eastAsiaTheme="minorHAnsi"/>
      <w:color w:val="auto"/>
      <w:kern w:val="0"/>
      <w:sz w:val="22"/>
      <w:szCs w:val="22"/>
      <w:lang w:val="pt-BR" w:eastAsia="en-US" w:bidi="ar-SA"/>
    </w:rPr>
  </w:style>
  <w:style w:type="paragraph" w:customStyle="1" w:styleId="182">
    <w:name w:val="Sem Espaçamento"/>
    <w:qFormat/>
    <w:uiPriority w:val="0"/>
    <w:pPr>
      <w:widowControl/>
      <w:suppressAutoHyphens/>
      <w:bidi w:val="0"/>
      <w:spacing w:before="0" w:after="0" w:line="100" w:lineRule="atLeast"/>
      <w:jc w:val="left"/>
    </w:pPr>
    <w:rPr>
      <w:rFonts w:ascii="Times New Roman" w:hAnsi="Times New Roman" w:eastAsia="Liberation Serif" w:cs="Liberation Serif"/>
      <w:color w:val="auto"/>
      <w:kern w:val="0"/>
      <w:sz w:val="22"/>
      <w:szCs w:val="22"/>
      <w:lang w:val="pt-BR" w:eastAsia="hi-IN" w:bidi="ar-SA"/>
    </w:rPr>
  </w:style>
  <w:style w:type="paragraph" w:customStyle="1" w:styleId="183">
    <w:name w:val="western"/>
    <w:basedOn w:val="1"/>
    <w:qFormat/>
    <w:uiPriority w:val="0"/>
    <w:pPr>
      <w:widowControl/>
      <w:suppressAutoHyphens/>
      <w:spacing w:before="280" w:after="119"/>
    </w:pPr>
    <w:rPr>
      <w:rFonts w:ascii="Times New Roman" w:hAnsi="Times New Roman" w:eastAsia="Times New Roman" w:cs="Times New Roman"/>
      <w:sz w:val="24"/>
      <w:szCs w:val="24"/>
      <w:lang w:val="pt-BR" w:eastAsia="zh-CN"/>
    </w:rPr>
  </w:style>
  <w:style w:type="paragraph" w:customStyle="1" w:styleId="184">
    <w:name w:val="Título 21"/>
    <w:basedOn w:val="1"/>
    <w:qFormat/>
    <w:uiPriority w:val="0"/>
    <w:pPr>
      <w:numPr>
        <w:ilvl w:val="0"/>
        <w:numId w:val="0"/>
      </w:numPr>
      <w:ind w:left="476" w:hanging="285"/>
      <w:jc w:val="both"/>
      <w:outlineLvl w:val="1"/>
    </w:pPr>
    <w:rPr>
      <w:rFonts w:ascii="Tahoma" w:hAnsi="Tahoma" w:eastAsia="Times New Roman" w:cs="Tahoma"/>
      <w:b/>
      <w:bCs/>
      <w:lang w:val="pt-BR" w:eastAsia="pt-BR"/>
    </w:rPr>
  </w:style>
  <w:style w:type="table" w:customStyle="1" w:styleId="185">
    <w:name w:val="List Table 2"/>
    <w:basedOn w:val="14"/>
    <w:qFormat/>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186">
    <w:name w:val="WW8Num1z0"/>
    <w:qFormat/>
    <w:uiPriority w:val="3"/>
    <w:rPr>
      <w:rFonts w:ascii="Times New Roman" w:hAnsi="Times New Roman" w:eastAsia="Times New Roman" w:cstheme="minorBidi"/>
    </w:rPr>
  </w:style>
  <w:style w:type="character" w:customStyle="1" w:styleId="187">
    <w:name w:val="WW8Num1z1"/>
    <w:qFormat/>
    <w:uiPriority w:val="3"/>
    <w:rPr>
      <w:rFonts w:ascii="Times New Roman" w:hAnsi="Times New Roman" w:eastAsia="Times New Roman" w:cstheme="minorBidi"/>
    </w:rPr>
  </w:style>
  <w:style w:type="character" w:customStyle="1" w:styleId="188">
    <w:name w:val="WW8Num1z2"/>
    <w:qFormat/>
    <w:uiPriority w:val="3"/>
    <w:rPr>
      <w:rFonts w:ascii="Times New Roman" w:hAnsi="Times New Roman" w:eastAsia="Times New Roman" w:cstheme="minorBidi"/>
    </w:rPr>
  </w:style>
  <w:style w:type="character" w:customStyle="1" w:styleId="189">
    <w:name w:val="WW8Num1z3"/>
    <w:qFormat/>
    <w:uiPriority w:val="3"/>
    <w:rPr>
      <w:rFonts w:ascii="Times New Roman" w:hAnsi="Times New Roman" w:eastAsia="Times New Roman" w:cstheme="minorBidi"/>
    </w:rPr>
  </w:style>
  <w:style w:type="character" w:customStyle="1" w:styleId="190">
    <w:name w:val="WW8Num1z4"/>
    <w:qFormat/>
    <w:uiPriority w:val="3"/>
    <w:rPr>
      <w:rFonts w:ascii="Times New Roman" w:hAnsi="Times New Roman" w:eastAsia="Times New Roman" w:cstheme="minorBidi"/>
    </w:rPr>
  </w:style>
  <w:style w:type="character" w:customStyle="1" w:styleId="191">
    <w:name w:val="WW8Num1z5"/>
    <w:qFormat/>
    <w:uiPriority w:val="3"/>
    <w:rPr>
      <w:rFonts w:ascii="Times New Roman" w:hAnsi="Times New Roman" w:eastAsia="Times New Roman" w:cstheme="minorBidi"/>
    </w:rPr>
  </w:style>
  <w:style w:type="character" w:customStyle="1" w:styleId="192">
    <w:name w:val="WW8Num1z6"/>
    <w:qFormat/>
    <w:uiPriority w:val="3"/>
    <w:rPr>
      <w:rFonts w:ascii="Times New Roman" w:hAnsi="Times New Roman" w:eastAsia="Times New Roman" w:cstheme="minorBidi"/>
    </w:rPr>
  </w:style>
  <w:style w:type="character" w:customStyle="1" w:styleId="193">
    <w:name w:val="WW8Num1z7"/>
    <w:qFormat/>
    <w:uiPriority w:val="3"/>
    <w:rPr>
      <w:rFonts w:ascii="Times New Roman" w:hAnsi="Times New Roman" w:eastAsia="Times New Roman" w:cstheme="minorBidi"/>
    </w:rPr>
  </w:style>
  <w:style w:type="character" w:customStyle="1" w:styleId="194">
    <w:name w:val="WW8Num1z8"/>
    <w:qFormat/>
    <w:uiPriority w:val="3"/>
    <w:rPr>
      <w:rFonts w:ascii="Times New Roman" w:hAnsi="Times New Roman" w:eastAsia="Times New Roman" w:cstheme="minorBidi"/>
    </w:rPr>
  </w:style>
  <w:style w:type="character" w:customStyle="1" w:styleId="195">
    <w:name w:val="WW8Num2z0"/>
    <w:qFormat/>
    <w:uiPriority w:val="3"/>
    <w:rPr>
      <w:rFonts w:ascii="Times New Roman" w:hAnsi="Times New Roman" w:eastAsia="Times New Roman" w:cstheme="minorBidi"/>
      <w:b/>
      <w:bCs/>
      <w:sz w:val="24"/>
      <w:szCs w:val="24"/>
      <w:lang w:eastAsia="en-US"/>
    </w:rPr>
  </w:style>
  <w:style w:type="character" w:customStyle="1" w:styleId="196">
    <w:name w:val="WW8Num2z1"/>
    <w:qFormat/>
    <w:uiPriority w:val="3"/>
    <w:rPr>
      <w:rFonts w:ascii="Times New Roman" w:hAnsi="Times New Roman" w:eastAsia="Times New Roman" w:cstheme="minorBidi"/>
    </w:rPr>
  </w:style>
  <w:style w:type="character" w:customStyle="1" w:styleId="197">
    <w:name w:val="WW8Num2z2"/>
    <w:qFormat/>
    <w:uiPriority w:val="3"/>
    <w:rPr>
      <w:rFonts w:ascii="Times New Roman" w:hAnsi="Times New Roman" w:eastAsia="Times New Roman" w:cstheme="minorBidi"/>
    </w:rPr>
  </w:style>
  <w:style w:type="character" w:customStyle="1" w:styleId="198">
    <w:name w:val="WW8Num2z3"/>
    <w:qFormat/>
    <w:uiPriority w:val="3"/>
    <w:rPr>
      <w:rFonts w:ascii="Times New Roman" w:hAnsi="Times New Roman" w:eastAsia="Times New Roman" w:cstheme="minorBidi"/>
    </w:rPr>
  </w:style>
  <w:style w:type="character" w:customStyle="1" w:styleId="199">
    <w:name w:val="WW8Num2z4"/>
    <w:qFormat/>
    <w:uiPriority w:val="3"/>
    <w:rPr>
      <w:rFonts w:ascii="Times New Roman" w:hAnsi="Times New Roman" w:eastAsia="Times New Roman" w:cstheme="minorBidi"/>
    </w:rPr>
  </w:style>
  <w:style w:type="character" w:customStyle="1" w:styleId="200">
    <w:name w:val="WW8Num2z5"/>
    <w:qFormat/>
    <w:uiPriority w:val="3"/>
    <w:rPr>
      <w:rFonts w:ascii="Times New Roman" w:hAnsi="Times New Roman" w:eastAsia="Times New Roman" w:cstheme="minorBidi"/>
    </w:rPr>
  </w:style>
  <w:style w:type="character" w:customStyle="1" w:styleId="201">
    <w:name w:val="WW8Num2z6"/>
    <w:qFormat/>
    <w:uiPriority w:val="3"/>
    <w:rPr>
      <w:rFonts w:ascii="Times New Roman" w:hAnsi="Times New Roman" w:eastAsia="Times New Roman" w:cstheme="minorBidi"/>
    </w:rPr>
  </w:style>
  <w:style w:type="character" w:customStyle="1" w:styleId="202">
    <w:name w:val="WW8Num2z7"/>
    <w:qFormat/>
    <w:uiPriority w:val="3"/>
    <w:rPr>
      <w:rFonts w:ascii="Times New Roman" w:hAnsi="Times New Roman" w:eastAsia="Times New Roman" w:cstheme="minorBidi"/>
    </w:rPr>
  </w:style>
  <w:style w:type="character" w:customStyle="1" w:styleId="203">
    <w:name w:val="WW8Num2z8"/>
    <w:qFormat/>
    <w:uiPriority w:val="3"/>
    <w:rPr>
      <w:rFonts w:ascii="Times New Roman" w:hAnsi="Times New Roman" w:eastAsia="Times New Roman" w:cstheme="minorBidi"/>
    </w:rPr>
  </w:style>
  <w:style w:type="character" w:customStyle="1" w:styleId="204">
    <w:name w:val="Cabeçalho Char1"/>
    <w:basedOn w:val="13"/>
    <w:qFormat/>
    <w:uiPriority w:val="6"/>
    <w:rPr>
      <w:rFonts w:ascii="Times New Roman" w:hAnsi="Times New Roman" w:eastAsia="Times New Roman" w:cstheme="minorBidi"/>
      <w:lang w:eastAsia="pt-BR"/>
    </w:rPr>
  </w:style>
  <w:style w:type="character" w:customStyle="1" w:styleId="205">
    <w:name w:val="Rodapé Char1"/>
    <w:basedOn w:val="13"/>
    <w:qFormat/>
    <w:uiPriority w:val="6"/>
    <w:rPr>
      <w:rFonts w:ascii="Times New Roman" w:hAnsi="Times New Roman" w:eastAsia="Times New Roman" w:cstheme="minorBidi"/>
      <w:lang w:eastAsia="pt-BR"/>
    </w:rPr>
  </w:style>
  <w:style w:type="character" w:customStyle="1" w:styleId="206">
    <w:name w:val="Forte1"/>
    <w:basedOn w:val="49"/>
    <w:qFormat/>
    <w:uiPriority w:val="7"/>
    <w:rPr>
      <w:rFonts w:ascii="Times New Roman" w:hAnsi="Times New Roman" w:eastAsia="Times New Roman" w:cstheme="minorBidi"/>
      <w:b/>
    </w:rPr>
  </w:style>
  <w:style w:type="character" w:customStyle="1" w:styleId="207">
    <w:name w:val="ListLabel 1"/>
    <w:qFormat/>
    <w:uiPriority w:val="7"/>
    <w:rPr>
      <w:rFonts w:ascii="Times New Roman" w:hAnsi="Times New Roman" w:eastAsia="Times New Roman" w:cstheme="minorBidi"/>
      <w:b/>
    </w:rPr>
  </w:style>
  <w:style w:type="character" w:customStyle="1" w:styleId="208">
    <w:name w:val="ListLabel 2"/>
    <w:qFormat/>
    <w:uiPriority w:val="7"/>
    <w:rPr>
      <w:rFonts w:ascii="Times New Roman" w:hAnsi="Times New Roman" w:eastAsia="Times New Roman" w:cstheme="minorBidi"/>
      <w:b/>
    </w:rPr>
  </w:style>
  <w:style w:type="character" w:customStyle="1" w:styleId="209">
    <w:name w:val="ListLabel 3"/>
    <w:qFormat/>
    <w:uiPriority w:val="7"/>
    <w:rPr>
      <w:rFonts w:ascii="Times New Roman" w:hAnsi="Times New Roman" w:eastAsia="Times New Roman" w:cstheme="minorBidi"/>
      <w:b/>
    </w:rPr>
  </w:style>
  <w:style w:type="character" w:customStyle="1" w:styleId="210">
    <w:name w:val="WW_CharLFO2LVL1"/>
    <w:qFormat/>
    <w:uiPriority w:val="5"/>
    <w:rPr>
      <w:rFonts w:ascii="Times New Roman" w:hAnsi="Times New Roman" w:eastAsia="Times New Roman" w:cstheme="minorBidi"/>
      <w:b/>
      <w:bCs/>
      <w:sz w:val="24"/>
      <w:szCs w:val="24"/>
      <w:lang w:eastAsia="en-US"/>
    </w:rPr>
  </w:style>
  <w:style w:type="paragraph" w:customStyle="1" w:styleId="211">
    <w:name w:val="Normal1"/>
    <w:qFormat/>
    <w:uiPriority w:val="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bidi w:val="0"/>
      <w:snapToGrid/>
      <w:spacing w:before="0" w:after="0" w:line="100" w:lineRule="atLeast"/>
      <w:jc w:val="left"/>
    </w:pPr>
    <w:rPr>
      <w:rFonts w:ascii="Liberation Serif" w:hAnsi="Liberation Serif" w:eastAsia="NSimSun" w:cs="Arial"/>
      <w:color w:val="auto"/>
      <w:spacing w:val="0"/>
      <w:w w:val="100"/>
      <w:kern w:val="1"/>
      <w:position w:val="0"/>
      <w:sz w:val="24"/>
      <w:szCs w:val="24"/>
      <w:u w:val="none"/>
      <w:shd w:val="clear" w:color="auto" w:fill="auto"/>
      <w:vertAlign w:val="baseline"/>
      <w:lang w:val="pt-BR" w:eastAsia="hi-IN" w:bidi="hi-IN"/>
    </w:rPr>
  </w:style>
  <w:style w:type="paragraph" w:customStyle="1" w:styleId="212">
    <w:name w:val="Caption"/>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120" w:after="120" w:line="100" w:lineRule="atLeast"/>
    </w:pPr>
    <w:rPr>
      <w:rFonts w:ascii="Times New Roman" w:hAnsi="Times New Roman" w:eastAsia="Liberation Serif" w:cs="Liberation Serif"/>
      <w:i/>
      <w:iCs/>
      <w:color w:val="auto"/>
      <w:spacing w:val="0"/>
      <w:w w:val="100"/>
      <w:position w:val="0"/>
      <w:sz w:val="24"/>
      <w:szCs w:val="24"/>
      <w:u w:val="none"/>
      <w:shd w:val="clear" w:color="auto" w:fill="auto"/>
      <w:vertAlign w:val="baseline"/>
      <w:lang w:eastAsia="ar-SA" w:bidi="hi-IN"/>
    </w:rPr>
  </w:style>
  <w:style w:type="paragraph" w:customStyle="1" w:styleId="213">
    <w:name w:val="Index"/>
    <w:basedOn w:val="1"/>
    <w:qFormat/>
    <w:uiPriority w:val="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4">
    <w:name w:val="Header and Footer"/>
    <w:basedOn w:val="1"/>
    <w:qFormat/>
    <w:uiPriority w:val="6"/>
    <w:pPr>
      <w:keepNext w:val="0"/>
      <w:keepLines w:val="0"/>
      <w:pageBreakBefore w:val="0"/>
      <w:suppressLineNumbers/>
      <w:pBdr>
        <w:top w:val="none" w:color="auto" w:sz="0" w:space="0"/>
        <w:left w:val="none" w:color="auto" w:sz="0" w:space="0"/>
        <w:bottom w:val="none" w:color="auto" w:sz="0" w:space="0"/>
        <w:right w:val="none" w:color="auto" w:sz="0" w:space="0"/>
      </w:pBdr>
      <w:shd w:val="clear" w:color="auto" w:fill="auto"/>
      <w:tabs>
        <w:tab w:val="center" w:pos="4819"/>
        <w:tab w:val="right" w:pos="9638"/>
      </w:tabs>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hi-IN" w:bidi="hi-IN"/>
    </w:rPr>
  </w:style>
  <w:style w:type="paragraph" w:customStyle="1" w:styleId="215">
    <w:name w:val="Texto de balão1"/>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ahoma" w:hAnsi="Tahoma" w:eastAsia="Tahoma" w:cs="Tahoma"/>
      <w:color w:val="auto"/>
      <w:spacing w:val="0"/>
      <w:w w:val="100"/>
      <w:position w:val="0"/>
      <w:sz w:val="16"/>
      <w:szCs w:val="16"/>
      <w:u w:val="none"/>
      <w:shd w:val="clear" w:color="auto" w:fill="auto"/>
      <w:vertAlign w:val="baseline"/>
      <w:lang w:eastAsia="ar-SA" w:bidi="hi-IN"/>
    </w:rPr>
  </w:style>
  <w:style w:type="paragraph" w:customStyle="1" w:styleId="216">
    <w:name w:val="Parágrafo da Lista"/>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ind w:left="720" w:right="0" w:firstLine="0"/>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7">
    <w:name w:val="Normal (Web)1"/>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280" w:after="28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8">
    <w:name w:val="Table Contents"/>
    <w:basedOn w:val="1"/>
    <w:qFormat/>
    <w:uiPriority w:val="6"/>
    <w:pPr>
      <w:keepNext w:val="0"/>
      <w:keepLines w:val="0"/>
      <w:pageBreakBefore w:val="0"/>
      <w:suppressLineNumbers/>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hi-IN" w:bidi="hi-IN"/>
    </w:rPr>
  </w:style>
  <w:style w:type="paragraph" w:customStyle="1" w:styleId="219">
    <w:name w:val="Table Heading"/>
    <w:basedOn w:val="218"/>
    <w:qFormat/>
    <w:uiPriority w:val="6"/>
    <w:pPr>
      <w:suppressAutoHyphens/>
      <w:jc w:val="center"/>
    </w:pPr>
    <w:rPr>
      <w:b/>
      <w:bCs/>
    </w:rPr>
  </w:style>
  <w:style w:type="paragraph" w:customStyle="1" w:styleId="220">
    <w:name w:val="LO-normal"/>
    <w:qFormat/>
    <w:uiPriority w:val="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bidi w:val="0"/>
      <w:snapToGrid/>
      <w:spacing w:before="0" w:after="0" w:line="100" w:lineRule="atLeast"/>
      <w:jc w:val="left"/>
    </w:pPr>
    <w:rPr>
      <w:rFonts w:ascii="Bookman Old Style" w:hAnsi="Bookman Old Style" w:eastAsia="Liberation Serif" w:cs="Liberation Serif"/>
      <w:color w:val="auto"/>
      <w:spacing w:val="0"/>
      <w:w w:val="100"/>
      <w:kern w:val="0"/>
      <w:position w:val="0"/>
      <w:sz w:val="24"/>
      <w:szCs w:val="24"/>
      <w:u w:val="none"/>
      <w:shd w:val="clear" w:color="auto" w:fill="auto"/>
      <w:vertAlign w:val="baseline"/>
      <w:lang w:val="pt-BR" w:eastAsia="hi-IN" w:bidi="hi-IN"/>
    </w:rPr>
  </w:style>
  <w:style w:type="character" w:customStyle="1" w:styleId="221">
    <w:name w:val="Título 5 Char"/>
    <w:basedOn w:val="13"/>
    <w:semiHidden/>
    <w:qFormat/>
    <w:uiPriority w:val="9"/>
    <w:rPr>
      <w:rFonts w:asciiTheme="minorHAnsi" w:hAnsiTheme="minorHAnsi" w:eastAsiaTheme="majorEastAsia" w:cstheme="majorBidi"/>
      <w:color w:val="376092" w:themeColor="accent1" w:themeShade="BF"/>
      <w:kern w:val="2"/>
      <w:sz w:val="22"/>
      <w:szCs w:val="22"/>
      <w:lang w:val="pt-BR" w:eastAsia="en-US" w:bidi="ar-SA"/>
      <w14:ligatures w14:val="standardContextual"/>
    </w:rPr>
  </w:style>
  <w:style w:type="character" w:customStyle="1" w:styleId="222">
    <w:name w:val="Título 7 Char"/>
    <w:basedOn w:val="13"/>
    <w:semiHidden/>
    <w:qFormat/>
    <w:uiPriority w:val="9"/>
    <w:rPr>
      <w:rFonts w:asciiTheme="minorHAnsi" w:hAnsiTheme="minorHAnsi" w:eastAsiaTheme="majorEastAsia" w:cstheme="majorBidi"/>
      <w:color w:val="595959" w:themeColor="text1" w:themeTint="A6"/>
      <w:kern w:val="2"/>
      <w:sz w:val="22"/>
      <w:szCs w:val="22"/>
      <w:lang w:val="pt-BR" w:eastAsia="en-US" w:bidi="ar-SA"/>
      <w14:textFill>
        <w14:solidFill>
          <w14:schemeClr w14:val="tx1">
            <w14:lumMod w14:val="65000"/>
            <w14:lumOff w14:val="35000"/>
          </w14:schemeClr>
        </w14:solidFill>
      </w14:textFill>
      <w14:ligatures w14:val="standardContextual"/>
    </w:rPr>
  </w:style>
  <w:style w:type="character" w:customStyle="1" w:styleId="223">
    <w:name w:val="Título 8 Char"/>
    <w:basedOn w:val="13"/>
    <w:semiHidden/>
    <w:qFormat/>
    <w:uiPriority w:val="9"/>
    <w:rPr>
      <w:rFonts w:asciiTheme="minorHAnsi" w:hAnsiTheme="minorHAnsi" w:eastAsiaTheme="majorEastAsia" w:cstheme="majorBidi"/>
      <w:i/>
      <w:iCs/>
      <w:color w:val="262626" w:themeColor="text1" w:themeTint="D9"/>
      <w:kern w:val="2"/>
      <w:sz w:val="22"/>
      <w:szCs w:val="22"/>
      <w:lang w:val="pt-BR" w:eastAsia="en-US" w:bidi="ar-SA"/>
      <w14:textFill>
        <w14:solidFill>
          <w14:schemeClr w14:val="tx1">
            <w14:lumMod w14:val="85000"/>
            <w14:lumOff w14:val="15000"/>
          </w14:schemeClr>
        </w14:solidFill>
      </w14:textFill>
      <w14:ligatures w14:val="standardContextual"/>
    </w:rPr>
  </w:style>
  <w:style w:type="character" w:customStyle="1" w:styleId="224">
    <w:name w:val="Título 9 Char"/>
    <w:basedOn w:val="13"/>
    <w:semiHidden/>
    <w:qFormat/>
    <w:uiPriority w:val="9"/>
    <w:rPr>
      <w:rFonts w:asciiTheme="minorHAnsi" w:hAnsiTheme="minorHAnsi" w:eastAsiaTheme="majorEastAsia" w:cstheme="majorBidi"/>
      <w:color w:val="262626" w:themeColor="text1" w:themeTint="D9"/>
      <w:kern w:val="2"/>
      <w:sz w:val="22"/>
      <w:szCs w:val="22"/>
      <w:lang w:val="pt-BR" w:eastAsia="en-US" w:bidi="ar-SA"/>
      <w14:textFill>
        <w14:solidFill>
          <w14:schemeClr w14:val="tx1">
            <w14:lumMod w14:val="85000"/>
            <w14:lumOff w14:val="15000"/>
          </w14:schemeClr>
        </w14:solidFill>
      </w14:textFill>
      <w14:ligatures w14:val="standardContextual"/>
    </w:rPr>
  </w:style>
  <w:style w:type="character" w:customStyle="1" w:styleId="225">
    <w:name w:val="Subtítulo Char"/>
    <w:basedOn w:val="13"/>
    <w:link w:val="44"/>
    <w:qFormat/>
    <w:uiPriority w:val="11"/>
    <w:rPr>
      <w:rFonts w:asciiTheme="minorHAnsi" w:hAnsiTheme="minorHAnsi" w:eastAsiaTheme="minorHAnsi" w:cstheme="minorBidi"/>
      <w:i/>
      <w:iCs/>
      <w:kern w:val="2"/>
      <w:sz w:val="22"/>
      <w:szCs w:val="22"/>
      <w:lang w:val="pt-BR" w:eastAsia="en-US" w:bidi="ar-SA"/>
      <w14:ligatures w14:val="standardContextual"/>
    </w:rPr>
  </w:style>
  <w:style w:type="character" w:customStyle="1" w:styleId="226">
    <w:name w:val="Intense Emphasis"/>
    <w:basedOn w:val="13"/>
    <w:qFormat/>
    <w:uiPriority w:val="21"/>
    <w:rPr>
      <w:rFonts w:asciiTheme="minorHAnsi" w:hAnsiTheme="minorHAnsi" w:eastAsiaTheme="minorHAnsi" w:cstheme="minorBidi"/>
      <w:i/>
      <w:iCs/>
      <w:color w:val="376092" w:themeColor="accent1" w:themeShade="BF"/>
      <w:kern w:val="2"/>
      <w:sz w:val="22"/>
      <w:szCs w:val="22"/>
      <w:lang w:val="pt-BR" w:eastAsia="en-US" w:bidi="ar-SA"/>
      <w14:ligatures w14:val="standardContextual"/>
    </w:rPr>
  </w:style>
  <w:style w:type="character" w:customStyle="1" w:styleId="227">
    <w:name w:val="Citação Intensa Char"/>
    <w:basedOn w:val="13"/>
    <w:link w:val="228"/>
    <w:qFormat/>
    <w:uiPriority w:val="30"/>
    <w:rPr>
      <w:rFonts w:asciiTheme="minorHAnsi" w:hAnsiTheme="minorHAnsi" w:eastAsiaTheme="minorHAnsi" w:cstheme="minorBidi"/>
      <w:i/>
      <w:iCs/>
      <w:color w:val="376092" w:themeColor="accent1" w:themeShade="BF"/>
      <w:kern w:val="2"/>
      <w:sz w:val="22"/>
      <w:szCs w:val="22"/>
      <w:lang w:val="pt-BR" w:eastAsia="en-US" w:bidi="ar-SA"/>
      <w14:ligatures w14:val="standardContextual"/>
    </w:rPr>
  </w:style>
  <w:style w:type="paragraph" w:styleId="228">
    <w:name w:val="Intense Quote"/>
    <w:basedOn w:val="1"/>
    <w:next w:val="1"/>
    <w:link w:val="227"/>
    <w:qFormat/>
    <w:uiPriority w:val="30"/>
    <w:pPr>
      <w:pBdr>
        <w:top w:val="single" w:color="0F4761" w:sz="4" w:space="10"/>
        <w:bottom w:val="single" w:color="0F4761" w:sz="4" w:space="10"/>
      </w:pBdr>
      <w:spacing w:before="360" w:after="360" w:line="259" w:lineRule="auto"/>
      <w:ind w:left="864" w:right="864" w:firstLine="0"/>
      <w:jc w:val="center"/>
    </w:pPr>
    <w:rPr>
      <w:rFonts w:asciiTheme="minorHAnsi" w:hAnsiTheme="minorHAnsi" w:eastAsiaTheme="minorHAnsi"/>
      <w:i/>
      <w:iCs/>
      <w:color w:val="376092" w:themeColor="accent1" w:themeShade="BF"/>
      <w:kern w:val="2"/>
      <w14:ligatures w14:val="standardContextual"/>
    </w:rPr>
  </w:style>
  <w:style w:type="character" w:customStyle="1" w:styleId="229">
    <w:name w:val="Intense Reference"/>
    <w:basedOn w:val="13"/>
    <w:qFormat/>
    <w:uiPriority w:val="32"/>
    <w:rPr>
      <w:rFonts w:asciiTheme="minorHAnsi" w:hAnsiTheme="minorHAnsi" w:eastAsiaTheme="minorHAnsi" w:cstheme="minorBidi"/>
      <w:b/>
      <w:bCs/>
      <w:smallCaps/>
      <w:color w:val="376092" w:themeColor="accent1" w:themeShade="BF"/>
      <w:spacing w:val="5"/>
      <w:kern w:val="2"/>
      <w:sz w:val="22"/>
      <w:szCs w:val="22"/>
      <w:lang w:val="pt-BR" w:eastAsia="en-US" w:bidi="ar-SA"/>
      <w14:ligatures w14:val="standardContextual"/>
    </w:rPr>
  </w:style>
  <w:style w:type="character" w:customStyle="1" w:styleId="230">
    <w:name w:val="MSG_EN_FONT_STYLE_NAME_TEMPLATE_ROLE MSG_EN_FONT_STYLE_NAME_BY_ROLE_TABLE_CAPTION_"/>
    <w:basedOn w:val="13"/>
    <w:link w:val="231"/>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1">
    <w:name w:val="MSG_EN_FONT_STYLE_NAME_TEMPLATE_ROLE MSG_EN_FONT_STYLE_NAME_BY_ROLE_TABLE_CAPTION"/>
    <w:basedOn w:val="1"/>
    <w:link w:val="230"/>
    <w:qFormat/>
    <w:uiPriority w:val="0"/>
    <w:pPr>
      <w:widowControl w:val="0"/>
      <w:shd w:val="clear" w:color="auto" w:fill="FFFFFF"/>
      <w:spacing w:before="0" w:after="0" w:line="266" w:lineRule="exact"/>
    </w:pPr>
    <w:rPr>
      <w:rFonts w:asciiTheme="minorHAnsi" w:hAnsiTheme="minorHAnsi" w:eastAsiaTheme="minorHAnsi"/>
      <w:b/>
      <w:bCs/>
      <w:color w:val="auto"/>
      <w:kern w:val="2"/>
      <w14:ligatures w14:val="standardContextual"/>
    </w:rPr>
  </w:style>
  <w:style w:type="character" w:customStyle="1" w:styleId="232">
    <w:name w:val="MSG_EN_FONT_STYLE_NAME_TEMPLATE_ROLE_NUMBER MSG_EN_FONT_STYLE_NAME_BY_ROLE_TEXT 3_"/>
    <w:basedOn w:val="13"/>
    <w:link w:val="233"/>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3">
    <w:name w:val="MSG_EN_FONT_STYLE_NAME_TEMPLATE_ROLE_NUMBER MSG_EN_FONT_STYLE_NAME_BY_ROLE_TEXT 3"/>
    <w:basedOn w:val="1"/>
    <w:link w:val="232"/>
    <w:qFormat/>
    <w:uiPriority w:val="0"/>
    <w:pPr>
      <w:widowControl w:val="0"/>
      <w:shd w:val="clear" w:color="auto" w:fill="FFFFFF"/>
      <w:spacing w:before="620" w:after="620" w:line="266" w:lineRule="exact"/>
      <w:jc w:val="center"/>
    </w:pPr>
    <w:rPr>
      <w:rFonts w:asciiTheme="minorHAnsi" w:hAnsiTheme="minorHAnsi" w:eastAsiaTheme="minorHAnsi"/>
      <w:b/>
      <w:bCs/>
      <w:color w:val="auto"/>
      <w:kern w:val="2"/>
      <w14:ligatures w14:val="standardContextual"/>
    </w:rPr>
  </w:style>
  <w:style w:type="character" w:customStyle="1" w:styleId="234">
    <w:name w:val="MSG_EN_FONT_STYLE_NAME_TEMPLATE_ROLE_NUMBER MSG_EN_FONT_STYLE_NAME_BY_ROLE_TEXT 2_"/>
    <w:basedOn w:val="13"/>
    <w:link w:val="235"/>
    <w:qFormat/>
    <w:uiPriority w:val="0"/>
    <w:rPr>
      <w:rFonts w:asciiTheme="minorHAnsi" w:hAnsiTheme="minorHAnsi" w:eastAsiaTheme="minorHAnsi" w:cstheme="minorBidi"/>
      <w:kern w:val="2"/>
      <w:sz w:val="22"/>
      <w:szCs w:val="22"/>
      <w:lang w:val="pt-BR" w:eastAsia="en-US" w:bidi="ar-SA"/>
      <w14:ligatures w14:val="standardContextual"/>
    </w:rPr>
  </w:style>
  <w:style w:type="paragraph" w:customStyle="1" w:styleId="235">
    <w:name w:val="MSG_EN_FONT_STYLE_NAME_TEMPLATE_ROLE_NUMBER MSG_EN_FONT_STYLE_NAME_BY_ROLE_TEXT 2"/>
    <w:basedOn w:val="1"/>
    <w:link w:val="234"/>
    <w:qFormat/>
    <w:uiPriority w:val="0"/>
    <w:pPr>
      <w:widowControl w:val="0"/>
      <w:shd w:val="clear" w:color="auto" w:fill="FFFFFF"/>
      <w:spacing w:before="620" w:after="120" w:line="266" w:lineRule="exact"/>
      <w:ind w:hanging="2640"/>
      <w:jc w:val="both"/>
    </w:pPr>
    <w:rPr>
      <w:rFonts w:asciiTheme="minorHAnsi" w:hAnsiTheme="minorHAnsi" w:eastAsiaTheme="minorHAnsi"/>
      <w:color w:val="auto"/>
      <w:kern w:val="2"/>
      <w14:ligatures w14:val="standardContextual"/>
    </w:rPr>
  </w:style>
  <w:style w:type="character" w:customStyle="1" w:styleId="236">
    <w:name w:val="MSG_EN_FONT_STYLE_NAME_TEMPLATE_ROLE_NUMBER MSG_EN_FONT_STYLE_NAME_BY_ROLE_TEXT 2 + MSG_EN_FONT_STYLE_MODIFER_BOLD"/>
    <w:basedOn w:val="234"/>
    <w:qFormat/>
    <w:uiPriority w:val="0"/>
    <w:rPr>
      <w:rFonts w:ascii="Times New Roman" w:hAnsi="Times New Roman" w:eastAsia="Times New Roman" w:cs="Times New Roman"/>
      <w:b/>
      <w:bCs/>
      <w:color w:val="000000"/>
      <w:spacing w:val="0"/>
      <w:w w:val="100"/>
      <w:sz w:val="24"/>
      <w:szCs w:val="24"/>
      <w:shd w:val="clear" w:fill="FFFFFF"/>
      <w:lang w:val="pt-BR" w:eastAsia="pt-BR" w:bidi="pt-BR"/>
    </w:rPr>
  </w:style>
  <w:style w:type="character" w:customStyle="1" w:styleId="237">
    <w:name w:val="MSG_EN_FONT_STYLE_NAME_TEMPLATE_ROLE_NUMBER MSG_EN_FONT_STYLE_NAME_BY_ROLE_TEXT 3 + MSG_EN_FONT_STYLE_MODIFER_NOT_BOLD"/>
    <w:basedOn w:val="232"/>
    <w:qFormat/>
    <w:uiPriority w:val="0"/>
    <w:rPr>
      <w:rFonts w:ascii="Times New Roman" w:hAnsi="Times New Roman" w:eastAsia="Times New Roman" w:cs="Times New Roman"/>
      <w:color w:val="000000"/>
      <w:spacing w:val="0"/>
      <w:w w:val="100"/>
      <w:sz w:val="24"/>
      <w:szCs w:val="24"/>
      <w:shd w:val="clear" w:fill="FFFFFF"/>
      <w:lang w:val="pt-BR" w:eastAsia="pt-BR" w:bidi="pt-BR"/>
    </w:rPr>
  </w:style>
  <w:style w:type="character" w:customStyle="1" w:styleId="238">
    <w:name w:val="MSG_EN_FONT_STYLE_NAME_TEMPLATE_ROLE_LEVEL MSG_EN_FONT_STYLE_NAME_BY_ROLE_HEADING 2_"/>
    <w:basedOn w:val="13"/>
    <w:link w:val="239"/>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9">
    <w:name w:val="MSG_EN_FONT_STYLE_NAME_TEMPLATE_ROLE_LEVEL MSG_EN_FONT_STYLE_NAME_BY_ROLE_HEADING 2"/>
    <w:basedOn w:val="1"/>
    <w:link w:val="238"/>
    <w:qFormat/>
    <w:uiPriority w:val="0"/>
    <w:pPr>
      <w:widowControl w:val="0"/>
      <w:shd w:val="clear" w:color="auto" w:fill="FFFFFF"/>
      <w:spacing w:before="320" w:after="0" w:line="317" w:lineRule="exact"/>
      <w:jc w:val="both"/>
      <w:outlineLvl w:val="1"/>
    </w:pPr>
    <w:rPr>
      <w:rFonts w:asciiTheme="minorHAnsi" w:hAnsiTheme="minorHAnsi" w:eastAsiaTheme="minorHAnsi"/>
      <w:b/>
      <w:bCs/>
      <w:color w:val="auto"/>
      <w:kern w:val="2"/>
      <w14:ligatures w14:val="standardContextual"/>
    </w:rPr>
  </w:style>
  <w:style w:type="character" w:customStyle="1" w:styleId="240">
    <w:name w:val="MSG_EN_FONT_STYLE_NAME_TEMPLATE_ROLE_NUMBER MSG_EN_FONT_STYLE_NAME_BY_ROLE_TEXT 2 + MSG_EN_FONT_STYLE_MODIFER_NAME Arial;MSG_EN_FONT_STYLE_MODIFER_SIZE 11"/>
    <w:basedOn w:val="234"/>
    <w:qFormat/>
    <w:uiPriority w:val="0"/>
    <w:rPr>
      <w:rFonts w:ascii="Arial" w:hAnsi="Arial" w:eastAsia="Arial" w:cs="Arial"/>
      <w:color w:val="000000"/>
      <w:spacing w:val="0"/>
      <w:w w:val="100"/>
      <w:sz w:val="22"/>
      <w:szCs w:val="22"/>
      <w:u w:val="none"/>
      <w:shd w:val="clear" w:fill="FFFFFF"/>
      <w:lang w:val="pt-BR" w:eastAsia="pt-BR" w:bidi="pt-BR"/>
    </w:rPr>
  </w:style>
  <w:style w:type="character" w:customStyle="1" w:styleId="241">
    <w:name w:val="MSG_EN_FONT_STYLE_NAME_TEMPLATE_ROLE_NUMBER MSG_EN_FONT_STYLE_NAME_BY_ROLE_TEXT 2 + MSG_EN_FONT_STYLE_MODIFER_SIZE 6.5;MSG_EN_FONT_STYLE_MODIFER_BOLD"/>
    <w:basedOn w:val="234"/>
    <w:qFormat/>
    <w:uiPriority w:val="0"/>
    <w:rPr>
      <w:rFonts w:ascii="Times New Roman" w:hAnsi="Times New Roman" w:eastAsia="Times New Roman" w:cs="Times New Roman"/>
      <w:b/>
      <w:bCs/>
      <w:color w:val="000000"/>
      <w:spacing w:val="0"/>
      <w:w w:val="100"/>
      <w:sz w:val="13"/>
      <w:szCs w:val="13"/>
      <w:u w:val="none"/>
      <w:shd w:val="clear" w:fill="FFFFFF"/>
      <w:lang w:val="pt-BR" w:eastAsia="pt-BR" w:bidi="pt-BR"/>
    </w:rPr>
  </w:style>
  <w:style w:type="character" w:customStyle="1" w:styleId="242">
    <w:name w:val="Numbering Symbols"/>
    <w:uiPriority w:val="6"/>
    <w:rPr>
      <w:rFonts w:ascii="Times New Roman" w:hAnsi="Times New Roman" w:eastAsia="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9BCD0BBE5FF6A428B22A2C1997703AB" ma:contentTypeVersion="2" ma:contentTypeDescription="Crie um novo documento." ma:contentTypeScope="" ma:versionID="4849a99c89ee830415bf1e799923efdb">
  <xsd:schema xmlns:xsd="http://www.w3.org/2001/XMLSchema" xmlns:xs="http://www.w3.org/2001/XMLSchema" xmlns:p="http://schemas.microsoft.com/office/2006/metadata/properties" xmlns:ns2="6fc0d3f4-1f87-48e4-be3e-f6909f2f0919" targetNamespace="http://schemas.microsoft.com/office/2006/metadata/properties" ma:root="true" ma:fieldsID="55ffb4ea865a6613d550fea9559a6110" ns2:_="">
    <xsd:import namespace="6fc0d3f4-1f87-48e4-be3e-f6909f2f09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0d3f4-1f87-48e4-be3e-f6909f2f0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C04C24-93FC-4DC4-AA5D-F86104CE1FE2}">
  <ds:schemaRefs/>
</ds:datastoreItem>
</file>

<file path=customXml/itemProps2.xml><?xml version="1.0" encoding="utf-8"?>
<ds:datastoreItem xmlns:ds="http://schemas.openxmlformats.org/officeDocument/2006/customXml" ds:itemID="{89AF43AB-258F-46AE-84B1-DCEC811B5169}">
  <ds:schemaRefs/>
</ds:datastoreItem>
</file>

<file path=customXml/itemProps3.xml><?xml version="1.0" encoding="utf-8"?>
<ds:datastoreItem xmlns:ds="http://schemas.openxmlformats.org/officeDocument/2006/customXml" ds:itemID="{7E0CCFE8-B119-41DE-8C8E-2F3073DA7E25}">
  <ds:schemaRefs/>
</ds:datastoreItem>
</file>

<file path=customXml/itemProps4.xml><?xml version="1.0" encoding="utf-8"?>
<ds:datastoreItem xmlns:ds="http://schemas.openxmlformats.org/officeDocument/2006/customXml" ds:itemID="{781D5C72-3651-4138-9965-9B0CE3CCB50E}">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2920</Words>
  <Characters>16531</Characters>
  <Paragraphs>147</Paragraphs>
  <TotalTime>2</TotalTime>
  <ScaleCrop>false</ScaleCrop>
  <LinksUpToDate>false</LinksUpToDate>
  <CharactersWithSpaces>19227</CharactersWithSpaces>
  <Application>WPS Office_12.2.0.17153_F1E327BC-269C-435d-A152-05C5408002CA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2024-04-17T11:24:00Z</dcterms:created>
  <dc:creator>Jeferson Scherer Soliman</dc:creator>
  <cp:lastModifiedBy>brenda.grubert</cp:lastModifiedBy>
  <cp:lastPrinted>2024-07-29T13:17:56Z</cp:lastPrinted>
  <dcterms:modified xsi:type="dcterms:W3CDTF">2024-07-29T13:18:40Z</dcterms:modified>
  <dc:title>Minuta Edital de Pregão - Serviços com SRP</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0x010100F9BCD0BBE5FF6A428B22A2C1997703AB</vt:lpwstr>
  </property>
  <property fmtid="{D5CDD505-2E9C-101B-9397-08002B2CF9AE}" pid="3" name="ICV">
    <vt:lpwstr>B37AF8D0C80C400DAB905698BFD9D413_13</vt:lpwstr>
  </property>
  <property fmtid="{D5CDD505-2E9C-101B-9397-08002B2CF9AE}" pid="4" name="KSOProductBuildVer">
    <vt:lpwstr>1046-12.2.0.17153</vt:lpwstr>
  </property>
  <property fmtid="{D5CDD505-2E9C-101B-9397-08002B2CF9AE}" pid="5" name="AppVersion">
    <vt:lpwstr>12.0000</vt:lpwstr>
  </property>
  <property fmtid="{D5CDD505-2E9C-101B-9397-08002B2CF9AE}" pid="6" name="DocSecurity">
    <vt:r8>0</vt:r8>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